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天津市欧美同学会</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2"/>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698509467"/>
      <w:bookmarkStart w:id="6" w:name="_Toc1101039957"/>
      <w:bookmarkStart w:id="7" w:name="_Toc909979739"/>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天津市欧美同学会</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宣传贯彻党中央支持留学、鼓励回国、来去自由、发挥作用的方针，落实党和政府的留学人员政策。加强对归国留学人员的政治引领和政治吸纳，增进国情认知，坚定中国特色社会主义道路自信，理论自信，制度自信，文化自信。吸引和举荐归国留学人才，做好代表人士发现、培养、使用、管理服务工作。引导支持归国留学人员在津创新创业，宣传鼓励优秀归国留学人员，弘扬留学报国传统。关心在津归国留学人员工作生活，反映其愿望诉求，维护其合法权益。充分利用新媒体，加强对在津归国留学人员群体的宣传。加强同海外留学人员和留学人员组织联系，开展形式多样的交往交流活动和咨询服务。开展在津留学人员状况调查，掌握留学人员思想动态，为做好留学人员工作提供决策依据。完成市委市政府交办的其他任务</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1702997367"/>
      <w:bookmarkStart w:id="9" w:name="_Toc244589183"/>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天津市欧美同学会内设1个职能处室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天津市欧美同学会</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1.天津市欧美同学会</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3"/>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291121727"/>
      <w:bookmarkStart w:id="20" w:name="_Toc1865768001"/>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2,056,329.75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1,761,829.75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197,096.76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97,000.00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59.15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2,056,388.90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2,055,926.51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3,000.00</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3,462.39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3,000.00</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2,059,388.90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2,059,388.90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2,056,388.90</w:t>
            </w:r>
          </w:p>
        </w:tc>
        <w:tc>
          <w:tcPr>
            <w:tcW w:w="1240" w:type="dxa"/>
            <w:tcBorders/>
            <w:vAlign w:val="center"/>
          </w:tcPr>
          <w:p>
            <w:pPr>
              <w:snapToGrid w:val="0"/>
              <w:jc w:val="right"/>
            </w:pPr>
            <w:r>
              <w:rPr>
                <w:rFonts w:ascii="宋体" w:eastAsia="宋体" w:hAnsi="宋体" w:cs="宋体"/>
                <w:b w:val="0"/>
                <w:i w:val="0"/>
                <w:color w:val="000000"/>
                <w:sz w:val="14"/>
              </w:rPr>
              <w:t xml:space="preserve">2,056,329.75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1,761,888.90</w:t>
            </w:r>
          </w:p>
        </w:tc>
        <w:tc>
          <w:tcPr>
            <w:tcW w:w="1240" w:type="dxa"/>
            <w:tcBorders/>
            <w:vAlign w:val="center"/>
          </w:tcPr>
          <w:p>
            <w:pPr>
              <w:snapToGrid w:val="0"/>
              <w:jc w:val="right"/>
            </w:pPr>
            <w:r>
              <w:rPr>
                <w:rFonts w:ascii="宋体" w:eastAsia="宋体" w:hAnsi="宋体" w:cs="宋体"/>
                <w:b w:val="0"/>
                <w:i w:val="0"/>
                <w:color w:val="000000"/>
                <w:sz w:val="14"/>
              </w:rPr>
              <w:t xml:space="preserve">1,761,829.75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w:t>
            </w:r>
          </w:p>
        </w:tc>
        <w:tc>
          <w:tcPr>
            <w:tcW w:w="2520" w:type="dxa"/>
            <w:tcBorders/>
            <w:vAlign w:val="center"/>
          </w:tcPr>
          <w:p>
            <w:pPr>
              <w:snapToGrid w:val="0"/>
              <w:jc w:val="left"/>
            </w:pPr>
            <w:r>
              <w:rPr>
                <w:rFonts w:ascii="宋体" w:eastAsia="宋体" w:hAnsi="宋体" w:cs="宋体"/>
                <w:b w:val="0"/>
                <w:i w:val="0"/>
                <w:color w:val="000000"/>
                <w:sz w:val="14"/>
              </w:rPr>
              <w:t xml:space="preserve">群众团体事务</w:t>
            </w:r>
          </w:p>
        </w:tc>
        <w:tc>
          <w:tcPr>
            <w:tcW w:w="1240" w:type="dxa"/>
            <w:tcBorders/>
            <w:vAlign w:val="center"/>
          </w:tcPr>
          <w:p>
            <w:pPr>
              <w:snapToGrid w:val="0"/>
              <w:jc w:val="right"/>
            </w:pPr>
            <w:r>
              <w:rPr>
                <w:rFonts w:ascii="宋体" w:eastAsia="宋体" w:hAnsi="宋体" w:cs="宋体"/>
                <w:b w:val="0"/>
                <w:i w:val="0"/>
                <w:color w:val="000000"/>
                <w:sz w:val="14"/>
              </w:rPr>
              <w:t xml:space="preserve">1,761,888.90</w:t>
            </w:r>
          </w:p>
        </w:tc>
        <w:tc>
          <w:tcPr>
            <w:tcW w:w="1240" w:type="dxa"/>
            <w:tcBorders/>
            <w:vAlign w:val="center"/>
          </w:tcPr>
          <w:p>
            <w:pPr>
              <w:snapToGrid w:val="0"/>
              <w:jc w:val="right"/>
            </w:pPr>
            <w:r>
              <w:rPr>
                <w:rFonts w:ascii="宋体" w:eastAsia="宋体" w:hAnsi="宋体" w:cs="宋体"/>
                <w:b w:val="0"/>
                <w:i w:val="0"/>
                <w:color w:val="000000"/>
                <w:sz w:val="14"/>
              </w:rPr>
              <w:t xml:space="preserve">1,761,829.75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1,562,741.51</w:t>
            </w:r>
          </w:p>
        </w:tc>
        <w:tc>
          <w:tcPr>
            <w:tcW w:w="1240" w:type="dxa"/>
            <w:tcBorders/>
            <w:vAlign w:val="center"/>
          </w:tcPr>
          <w:p>
            <w:pPr>
              <w:snapToGrid w:val="0"/>
              <w:jc w:val="right"/>
            </w:pPr>
            <w:r>
              <w:rPr>
                <w:rFonts w:ascii="宋体" w:eastAsia="宋体" w:hAnsi="宋体" w:cs="宋体"/>
                <w:b w:val="0"/>
                <w:i w:val="0"/>
                <w:color w:val="000000"/>
                <w:sz w:val="14"/>
              </w:rPr>
              <w:t xml:space="preserve">1,562,682.36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2012999</w:t>
            </w:r>
          </w:p>
        </w:tc>
        <w:tc>
          <w:tcPr>
            <w:tcW w:w="2520" w:type="dxa"/>
            <w:tcBorders/>
            <w:vAlign w:val="center"/>
          </w:tcPr>
          <w:p>
            <w:pPr>
              <w:snapToGrid w:val="0"/>
              <w:jc w:val="left"/>
            </w:pPr>
            <w:r>
              <w:rPr>
                <w:rFonts w:ascii="宋体" w:eastAsia="宋体" w:hAnsi="宋体" w:cs="宋体"/>
                <w:b w:val="0"/>
                <w:i w:val="0"/>
                <w:color w:val="000000"/>
                <w:sz w:val="14"/>
              </w:rPr>
              <w:t xml:space="preserve">其他群众团体事务支出</w:t>
            </w:r>
          </w:p>
        </w:tc>
        <w:tc>
          <w:tcPr>
            <w:tcW w:w="1240" w:type="dxa"/>
            <w:tcBorders/>
            <w:vAlign w:val="center"/>
          </w:tcPr>
          <w:p>
            <w:pPr>
              <w:snapToGrid w:val="0"/>
              <w:jc w:val="right"/>
            </w:pPr>
            <w:r>
              <w:rPr>
                <w:rFonts w:ascii="宋体" w:eastAsia="宋体" w:hAnsi="宋体" w:cs="宋体"/>
                <w:b w:val="0"/>
                <w:i w:val="0"/>
                <w:color w:val="000000"/>
                <w:sz w:val="14"/>
              </w:rPr>
              <w:t xml:space="preserve">199,147.39</w:t>
            </w:r>
          </w:p>
        </w:tc>
        <w:tc>
          <w:tcPr>
            <w:tcW w:w="1240" w:type="dxa"/>
            <w:tcBorders/>
            <w:vAlign w:val="center"/>
          </w:tcPr>
          <w:p>
            <w:pPr>
              <w:snapToGrid w:val="0"/>
              <w:jc w:val="right"/>
            </w:pPr>
            <w:r>
              <w:rPr>
                <w:rFonts w:ascii="宋体" w:eastAsia="宋体" w:hAnsi="宋体" w:cs="宋体"/>
                <w:b w:val="0"/>
                <w:i w:val="0"/>
                <w:color w:val="000000"/>
                <w:sz w:val="14"/>
              </w:rPr>
              <w:t xml:space="preserve">199,147.39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197,500.00</w:t>
            </w:r>
          </w:p>
        </w:tc>
        <w:tc>
          <w:tcPr>
            <w:tcW w:w="1240" w:type="dxa"/>
            <w:tcBorders/>
            <w:vAlign w:val="center"/>
          </w:tcPr>
          <w:p>
            <w:pPr>
              <w:snapToGrid w:val="0"/>
              <w:jc w:val="right"/>
            </w:pPr>
            <w:r>
              <w:rPr>
                <w:rFonts w:ascii="宋体" w:eastAsia="宋体" w:hAnsi="宋体" w:cs="宋体"/>
                <w:b w:val="0"/>
                <w:i w:val="0"/>
                <w:color w:val="000000"/>
                <w:sz w:val="14"/>
              </w:rPr>
              <w:t xml:space="preserve">197,500.00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197,500.00</w:t>
            </w:r>
          </w:p>
        </w:tc>
        <w:tc>
          <w:tcPr>
            <w:tcW w:w="1240" w:type="dxa"/>
            <w:tcBorders/>
            <w:vAlign w:val="center"/>
          </w:tcPr>
          <w:p>
            <w:pPr>
              <w:snapToGrid w:val="0"/>
              <w:jc w:val="right"/>
            </w:pPr>
            <w:r>
              <w:rPr>
                <w:rFonts w:ascii="宋体" w:eastAsia="宋体" w:hAnsi="宋体" w:cs="宋体"/>
                <w:b w:val="0"/>
                <w:i w:val="0"/>
                <w:color w:val="000000"/>
                <w:sz w:val="14"/>
              </w:rPr>
              <w:t xml:space="preserve">197,500.00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132,500.00</w:t>
            </w:r>
          </w:p>
        </w:tc>
        <w:tc>
          <w:tcPr>
            <w:tcW w:w="1240" w:type="dxa"/>
            <w:tcBorders/>
            <w:vAlign w:val="center"/>
          </w:tcPr>
          <w:p>
            <w:pPr>
              <w:snapToGrid w:val="0"/>
              <w:jc w:val="right"/>
            </w:pPr>
            <w:r>
              <w:rPr>
                <w:rFonts w:ascii="宋体" w:eastAsia="宋体" w:hAnsi="宋体" w:cs="宋体"/>
                <w:b w:val="0"/>
                <w:i w:val="0"/>
                <w:color w:val="000000"/>
                <w:sz w:val="14"/>
              </w:rPr>
              <w:t xml:space="preserve">132,500.00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65,000.00</w:t>
            </w:r>
          </w:p>
        </w:tc>
        <w:tc>
          <w:tcPr>
            <w:tcW w:w="1240" w:type="dxa"/>
            <w:tcBorders/>
            <w:vAlign w:val="center"/>
          </w:tcPr>
          <w:p>
            <w:pPr>
              <w:snapToGrid w:val="0"/>
              <w:jc w:val="right"/>
            </w:pPr>
            <w:r>
              <w:rPr>
                <w:rFonts w:ascii="宋体" w:eastAsia="宋体" w:hAnsi="宋体" w:cs="宋体"/>
                <w:b w:val="0"/>
                <w:i w:val="0"/>
                <w:color w:val="000000"/>
                <w:sz w:val="14"/>
              </w:rPr>
              <w:t xml:space="preserve">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97,000.00</w:t>
            </w:r>
          </w:p>
        </w:tc>
        <w:tc>
          <w:tcPr>
            <w:tcW w:w="1240" w:type="dxa"/>
            <w:tcBorders/>
            <w:vAlign w:val="center"/>
          </w:tcPr>
          <w:p>
            <w:pPr>
              <w:snapToGrid w:val="0"/>
              <w:jc w:val="right"/>
            </w:pPr>
            <w:r>
              <w:rPr>
                <w:rFonts w:ascii="宋体" w:eastAsia="宋体" w:hAnsi="宋体" w:cs="宋体"/>
                <w:b w:val="0"/>
                <w:i w:val="0"/>
                <w:color w:val="000000"/>
                <w:sz w:val="14"/>
              </w:rPr>
              <w:t xml:space="preserve">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97,000.00</w:t>
            </w:r>
          </w:p>
        </w:tc>
        <w:tc>
          <w:tcPr>
            <w:tcW w:w="1240" w:type="dxa"/>
            <w:tcBorders/>
            <w:vAlign w:val="center"/>
          </w:tcPr>
          <w:p>
            <w:pPr>
              <w:snapToGrid w:val="0"/>
              <w:jc w:val="right"/>
            </w:pPr>
            <w:r>
              <w:rPr>
                <w:rFonts w:ascii="宋体" w:eastAsia="宋体" w:hAnsi="宋体" w:cs="宋体"/>
                <w:b w:val="0"/>
                <w:i w:val="0"/>
                <w:color w:val="000000"/>
                <w:sz w:val="14"/>
              </w:rPr>
              <w:t xml:space="preserve">97,000.00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81,000.00</w:t>
            </w:r>
          </w:p>
        </w:tc>
        <w:tc>
          <w:tcPr>
            <w:tcW w:w="1240" w:type="dxa"/>
            <w:tcBorders/>
            <w:vAlign w:val="center"/>
          </w:tcPr>
          <w:p>
            <w:pPr>
              <w:snapToGrid w:val="0"/>
              <w:jc w:val="right"/>
            </w:pPr>
            <w:r>
              <w:rPr>
                <w:rFonts w:ascii="宋体" w:eastAsia="宋体" w:hAnsi="宋体" w:cs="宋体"/>
                <w:b w:val="0"/>
                <w:i w:val="0"/>
                <w:color w:val="000000"/>
                <w:sz w:val="14"/>
              </w:rPr>
              <w:t xml:space="preserve">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snapToGrid w:val="0"/>
              <w:jc w:val="right"/>
            </w:pPr>
            <w:r>
              <w:rPr>
                <w:rFonts w:ascii="宋体" w:eastAsia="宋体" w:hAnsi="宋体" w:cs="宋体"/>
                <w:b w:val="0"/>
                <w:i w:val="0"/>
                <w:color w:val="000000"/>
                <w:sz w:val="14"/>
              </w:rPr>
              <w:t xml:space="preserve">16,000.00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2,059,388.90</w:t>
            </w:r>
          </w:p>
        </w:tc>
        <w:tc>
          <w:tcPr>
            <w:tcW w:w="580" w:type="dxa"/>
            <w:tcBorders/>
            <w:vAlign w:val="center"/>
          </w:tcPr>
          <w:p>
            <w:pPr>
              <w:snapToGrid w:val="0"/>
              <w:jc w:val="right"/>
            </w:pPr>
            <w:r>
              <w:rPr>
                <w:rFonts w:ascii="宋体" w:eastAsia="宋体" w:hAnsi="宋体" w:cs="宋体"/>
                <w:b w:val="0"/>
                <w:i w:val="0"/>
                <w:color w:val="000000"/>
                <w:sz w:val="9"/>
              </w:rPr>
              <w:t xml:space="preserve">2,056,388.90</w:t>
            </w:r>
          </w:p>
        </w:tc>
        <w:tc>
          <w:tcPr>
            <w:tcW w:w="580" w:type="dxa"/>
            <w:tcBorders/>
            <w:vAlign w:val="center"/>
          </w:tcPr>
          <w:p>
            <w:pPr>
              <w:snapToGrid w:val="0"/>
              <w:jc w:val="right"/>
            </w:pPr>
            <w:r>
              <w:rPr>
                <w:rFonts w:ascii="宋体" w:eastAsia="宋体" w:hAnsi="宋体" w:cs="宋体"/>
                <w:b w:val="0"/>
                <w:i w:val="0"/>
                <w:color w:val="000000"/>
                <w:sz w:val="9"/>
              </w:rPr>
              <w:t xml:space="preserve">2,056,329.75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59.15</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340124</w:t>
            </w:r>
          </w:p>
        </w:tc>
        <w:tc>
          <w:tcPr>
            <w:tcW w:w="1520" w:type="dxa"/>
            <w:tcBorders/>
            <w:vAlign w:val="center"/>
          </w:tcPr>
          <w:p>
            <w:pPr>
              <w:snapToGrid w:val="0"/>
              <w:jc w:val="center"/>
            </w:pPr>
            <w:r>
              <w:rPr>
                <w:rFonts w:ascii="宋体" w:eastAsia="宋体" w:hAnsi="宋体" w:cs="宋体"/>
                <w:b w:val="0"/>
                <w:i w:val="0"/>
                <w:color w:val="000000"/>
                <w:sz w:val="9"/>
              </w:rPr>
              <w:t xml:space="preserve">天津市欧美同学会</w:t>
            </w:r>
          </w:p>
        </w:tc>
        <w:tc>
          <w:tcPr>
            <w:tcW w:w="580" w:type="dxa"/>
            <w:tcBorders/>
            <w:vAlign w:val="center"/>
          </w:tcPr>
          <w:p>
            <w:pPr>
              <w:snapToGrid w:val="0"/>
              <w:jc w:val="right"/>
            </w:pPr>
            <w:r>
              <w:rPr>
                <w:rFonts w:ascii="宋体" w:eastAsia="宋体" w:hAnsi="宋体" w:cs="宋体"/>
                <w:b w:val="0"/>
                <w:i w:val="0"/>
                <w:color w:val="000000"/>
                <w:sz w:val="9"/>
              </w:rPr>
              <w:t xml:space="preserve">2,059,388.90</w:t>
            </w:r>
          </w:p>
        </w:tc>
        <w:tc>
          <w:tcPr>
            <w:tcW w:w="580" w:type="dxa"/>
            <w:tcBorders/>
            <w:vAlign w:val="center"/>
          </w:tcPr>
          <w:p>
            <w:pPr>
              <w:snapToGrid w:val="0"/>
              <w:jc w:val="right"/>
            </w:pPr>
            <w:r>
              <w:rPr>
                <w:rFonts w:ascii="宋体" w:eastAsia="宋体" w:hAnsi="宋体" w:cs="宋体"/>
                <w:b w:val="0"/>
                <w:i w:val="0"/>
                <w:color w:val="000000"/>
                <w:sz w:val="9"/>
              </w:rPr>
              <w:t xml:space="preserve">2,056,388.90</w:t>
            </w:r>
          </w:p>
        </w:tc>
        <w:tc>
          <w:tcPr>
            <w:tcW w:w="580" w:type="dxa"/>
            <w:tcBorders/>
            <w:vAlign w:val="center"/>
          </w:tcPr>
          <w:p>
            <w:pPr>
              <w:snapToGrid w:val="0"/>
              <w:jc w:val="right"/>
            </w:pPr>
            <w:r>
              <w:rPr>
                <w:rFonts w:ascii="宋体" w:eastAsia="宋体" w:hAnsi="宋体" w:cs="宋体"/>
                <w:b w:val="0"/>
                <w:i w:val="0"/>
                <w:color w:val="000000"/>
                <w:sz w:val="9"/>
              </w:rPr>
              <w:t xml:space="preserve">2,056,329.75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59.15</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snapToGrid w:val="0"/>
              <w:jc w:val="right"/>
            </w:pPr>
            <w:r>
              <w:rPr>
                <w:rFonts w:ascii="宋体" w:eastAsia="宋体" w:hAnsi="宋体" w:cs="宋体"/>
                <w:b w:val="0"/>
                <w:i w:val="0"/>
                <w:color w:val="000000"/>
                <w:sz w:val="9"/>
              </w:rPr>
              <w:t xml:space="preserve">3,000.00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2,055,926.51</w:t>
            </w:r>
          </w:p>
        </w:tc>
        <w:tc>
          <w:tcPr>
            <w:tcW w:w="1320" w:type="dxa"/>
            <w:tcBorders/>
            <w:vAlign w:val="center"/>
          </w:tcPr>
          <w:p>
            <w:pPr>
              <w:snapToGrid w:val="0"/>
              <w:jc w:val="right"/>
            </w:pPr>
            <w:r>
              <w:rPr>
                <w:rFonts w:ascii="宋体" w:eastAsia="宋体" w:hAnsi="宋体" w:cs="宋体"/>
                <w:b w:val="0"/>
                <w:i w:val="0"/>
                <w:color w:val="000000"/>
                <w:sz w:val="15"/>
              </w:rPr>
              <w:t xml:space="preserve">1,856,779.12</w:t>
            </w:r>
          </w:p>
        </w:tc>
        <w:tc>
          <w:tcPr>
            <w:tcW w:w="1320" w:type="dxa"/>
            <w:tcBorders/>
            <w:vAlign w:val="center"/>
          </w:tcPr>
          <w:p>
            <w:pPr>
              <w:snapToGrid w:val="0"/>
              <w:jc w:val="right"/>
            </w:pPr>
            <w:r>
              <w:rPr>
                <w:rFonts w:ascii="宋体" w:eastAsia="宋体" w:hAnsi="宋体" w:cs="宋体"/>
                <w:b w:val="0"/>
                <w:i w:val="0"/>
                <w:color w:val="000000"/>
                <w:sz w:val="15"/>
              </w:rPr>
              <w:t xml:space="preserve">199,147.39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1,761,829.75</w:t>
            </w:r>
          </w:p>
        </w:tc>
        <w:tc>
          <w:tcPr>
            <w:tcW w:w="1320" w:type="dxa"/>
            <w:tcBorders/>
            <w:vAlign w:val="center"/>
          </w:tcPr>
          <w:p>
            <w:pPr>
              <w:snapToGrid w:val="0"/>
              <w:jc w:val="right"/>
            </w:pPr>
            <w:r>
              <w:rPr>
                <w:rFonts w:ascii="宋体" w:eastAsia="宋体" w:hAnsi="宋体" w:cs="宋体"/>
                <w:b w:val="0"/>
                <w:i w:val="0"/>
                <w:color w:val="000000"/>
                <w:sz w:val="15"/>
              </w:rPr>
              <w:t xml:space="preserve">1,562,682.36</w:t>
            </w:r>
          </w:p>
        </w:tc>
        <w:tc>
          <w:tcPr>
            <w:tcW w:w="1320" w:type="dxa"/>
            <w:tcBorders/>
            <w:vAlign w:val="center"/>
          </w:tcPr>
          <w:p>
            <w:pPr>
              <w:snapToGrid w:val="0"/>
              <w:jc w:val="right"/>
            </w:pPr>
            <w:r>
              <w:rPr>
                <w:rFonts w:ascii="宋体" w:eastAsia="宋体" w:hAnsi="宋体" w:cs="宋体"/>
                <w:b w:val="0"/>
                <w:i w:val="0"/>
                <w:color w:val="000000"/>
                <w:sz w:val="15"/>
              </w:rPr>
              <w:t xml:space="preserve">199,147.39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w:t>
            </w:r>
          </w:p>
        </w:tc>
        <w:tc>
          <w:tcPr>
            <w:tcW w:w="4400" w:type="dxa"/>
            <w:tcBorders/>
            <w:vAlign w:val="center"/>
          </w:tcPr>
          <w:p>
            <w:pPr>
              <w:snapToGrid w:val="0"/>
              <w:jc w:val="left"/>
            </w:pPr>
            <w:r>
              <w:rPr>
                <w:rFonts w:ascii="宋体" w:eastAsia="宋体" w:hAnsi="宋体" w:cs="宋体"/>
                <w:b w:val="0"/>
                <w:i w:val="0"/>
                <w:color w:val="000000"/>
                <w:sz w:val="15"/>
              </w:rPr>
              <w:t xml:space="preserve">群众团体事务</w:t>
            </w:r>
          </w:p>
        </w:tc>
        <w:tc>
          <w:tcPr>
            <w:tcW w:w="1320" w:type="dxa"/>
            <w:tcBorders/>
            <w:vAlign w:val="center"/>
          </w:tcPr>
          <w:p>
            <w:pPr>
              <w:snapToGrid w:val="0"/>
              <w:jc w:val="right"/>
            </w:pPr>
            <w:r>
              <w:rPr>
                <w:rFonts w:ascii="宋体" w:eastAsia="宋体" w:hAnsi="宋体" w:cs="宋体"/>
                <w:b w:val="0"/>
                <w:i w:val="0"/>
                <w:color w:val="000000"/>
                <w:sz w:val="15"/>
              </w:rPr>
              <w:t xml:space="preserve">1,761,829.75</w:t>
            </w:r>
          </w:p>
        </w:tc>
        <w:tc>
          <w:tcPr>
            <w:tcW w:w="1320" w:type="dxa"/>
            <w:tcBorders/>
            <w:vAlign w:val="center"/>
          </w:tcPr>
          <w:p>
            <w:pPr>
              <w:snapToGrid w:val="0"/>
              <w:jc w:val="right"/>
            </w:pPr>
            <w:r>
              <w:rPr>
                <w:rFonts w:ascii="宋体" w:eastAsia="宋体" w:hAnsi="宋体" w:cs="宋体"/>
                <w:b w:val="0"/>
                <w:i w:val="0"/>
                <w:color w:val="000000"/>
                <w:sz w:val="15"/>
              </w:rPr>
              <w:t xml:space="preserve">1,562,682.36</w:t>
            </w:r>
          </w:p>
        </w:tc>
        <w:tc>
          <w:tcPr>
            <w:tcW w:w="1320" w:type="dxa"/>
            <w:tcBorders/>
            <w:vAlign w:val="center"/>
          </w:tcPr>
          <w:p>
            <w:pPr>
              <w:snapToGrid w:val="0"/>
              <w:jc w:val="right"/>
            </w:pPr>
            <w:r>
              <w:rPr>
                <w:rFonts w:ascii="宋体" w:eastAsia="宋体" w:hAnsi="宋体" w:cs="宋体"/>
                <w:b w:val="0"/>
                <w:i w:val="0"/>
                <w:color w:val="000000"/>
                <w:sz w:val="15"/>
              </w:rPr>
              <w:t xml:space="preserve">199,147.39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1,562,682.36</w:t>
            </w:r>
          </w:p>
        </w:tc>
        <w:tc>
          <w:tcPr>
            <w:tcW w:w="1320" w:type="dxa"/>
            <w:tcBorders/>
            <w:vAlign w:val="center"/>
          </w:tcPr>
          <w:p>
            <w:pPr>
              <w:snapToGrid w:val="0"/>
              <w:jc w:val="right"/>
            </w:pPr>
            <w:r>
              <w:rPr>
                <w:rFonts w:ascii="宋体" w:eastAsia="宋体" w:hAnsi="宋体" w:cs="宋体"/>
                <w:b w:val="0"/>
                <w:i w:val="0"/>
                <w:color w:val="000000"/>
                <w:sz w:val="15"/>
              </w:rPr>
              <w:t xml:space="preserve">1,562,682.36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2012999</w:t>
            </w:r>
          </w:p>
        </w:tc>
        <w:tc>
          <w:tcPr>
            <w:tcW w:w="4400" w:type="dxa"/>
            <w:tcBorders/>
            <w:vAlign w:val="center"/>
          </w:tcPr>
          <w:p>
            <w:pPr>
              <w:snapToGrid w:val="0"/>
              <w:jc w:val="left"/>
            </w:pPr>
            <w:r>
              <w:rPr>
                <w:rFonts w:ascii="宋体" w:eastAsia="宋体" w:hAnsi="宋体" w:cs="宋体"/>
                <w:b w:val="0"/>
                <w:i w:val="0"/>
                <w:color w:val="000000"/>
                <w:sz w:val="15"/>
              </w:rPr>
              <w:t xml:space="preserve">其他群众团体事务支出</w:t>
            </w:r>
          </w:p>
        </w:tc>
        <w:tc>
          <w:tcPr>
            <w:tcW w:w="1320" w:type="dxa"/>
            <w:tcBorders/>
            <w:vAlign w:val="center"/>
          </w:tcPr>
          <w:p>
            <w:pPr>
              <w:snapToGrid w:val="0"/>
              <w:jc w:val="right"/>
            </w:pPr>
            <w:r>
              <w:rPr>
                <w:rFonts w:ascii="宋体" w:eastAsia="宋体" w:hAnsi="宋体" w:cs="宋体"/>
                <w:b w:val="0"/>
                <w:i w:val="0"/>
                <w:color w:val="000000"/>
                <w:sz w:val="15"/>
              </w:rPr>
              <w:t xml:space="preserve">199,147.39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199,147.39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197,096.76</w:t>
            </w:r>
          </w:p>
        </w:tc>
        <w:tc>
          <w:tcPr>
            <w:tcW w:w="1320" w:type="dxa"/>
            <w:tcBorders/>
            <w:vAlign w:val="center"/>
          </w:tcPr>
          <w:p>
            <w:pPr>
              <w:snapToGrid w:val="0"/>
              <w:jc w:val="right"/>
            </w:pPr>
            <w:r>
              <w:rPr>
                <w:rFonts w:ascii="宋体" w:eastAsia="宋体" w:hAnsi="宋体" w:cs="宋体"/>
                <w:b w:val="0"/>
                <w:i w:val="0"/>
                <w:color w:val="000000"/>
                <w:sz w:val="15"/>
              </w:rPr>
              <w:t xml:space="preserve">197,096.76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197,096.76</w:t>
            </w:r>
          </w:p>
        </w:tc>
        <w:tc>
          <w:tcPr>
            <w:tcW w:w="1320" w:type="dxa"/>
            <w:tcBorders/>
            <w:vAlign w:val="center"/>
          </w:tcPr>
          <w:p>
            <w:pPr>
              <w:snapToGrid w:val="0"/>
              <w:jc w:val="right"/>
            </w:pPr>
            <w:r>
              <w:rPr>
                <w:rFonts w:ascii="宋体" w:eastAsia="宋体" w:hAnsi="宋体" w:cs="宋体"/>
                <w:b w:val="0"/>
                <w:i w:val="0"/>
                <w:color w:val="000000"/>
                <w:sz w:val="15"/>
              </w:rPr>
              <w:t xml:space="preserve">197,096.76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132,096.76</w:t>
            </w:r>
          </w:p>
        </w:tc>
        <w:tc>
          <w:tcPr>
            <w:tcW w:w="1320" w:type="dxa"/>
            <w:tcBorders/>
            <w:vAlign w:val="center"/>
          </w:tcPr>
          <w:p>
            <w:pPr>
              <w:snapToGrid w:val="0"/>
              <w:jc w:val="right"/>
            </w:pPr>
            <w:r>
              <w:rPr>
                <w:rFonts w:ascii="宋体" w:eastAsia="宋体" w:hAnsi="宋体" w:cs="宋体"/>
                <w:b w:val="0"/>
                <w:i w:val="0"/>
                <w:color w:val="000000"/>
                <w:sz w:val="15"/>
              </w:rPr>
              <w:t xml:space="preserve">132,096.76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65,000.00</w:t>
            </w:r>
          </w:p>
        </w:tc>
        <w:tc>
          <w:tcPr>
            <w:tcW w:w="1320" w:type="dxa"/>
            <w:tcBorders/>
            <w:vAlign w:val="center"/>
          </w:tcPr>
          <w:p>
            <w:pPr>
              <w:snapToGrid w:val="0"/>
              <w:jc w:val="right"/>
            </w:pPr>
            <w:r>
              <w:rPr>
                <w:rFonts w:ascii="宋体" w:eastAsia="宋体" w:hAnsi="宋体" w:cs="宋体"/>
                <w:b w:val="0"/>
                <w:i w:val="0"/>
                <w:color w:val="000000"/>
                <w:sz w:val="15"/>
              </w:rPr>
              <w:t xml:space="preserve">65,000.00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97,000.00</w:t>
            </w:r>
          </w:p>
        </w:tc>
        <w:tc>
          <w:tcPr>
            <w:tcW w:w="1320" w:type="dxa"/>
            <w:tcBorders/>
            <w:vAlign w:val="center"/>
          </w:tcPr>
          <w:p>
            <w:pPr>
              <w:snapToGrid w:val="0"/>
              <w:jc w:val="right"/>
            </w:pPr>
            <w:r>
              <w:rPr>
                <w:rFonts w:ascii="宋体" w:eastAsia="宋体" w:hAnsi="宋体" w:cs="宋体"/>
                <w:b w:val="0"/>
                <w:i w:val="0"/>
                <w:color w:val="000000"/>
                <w:sz w:val="15"/>
              </w:rPr>
              <w:t xml:space="preserve">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97,000.00</w:t>
            </w:r>
          </w:p>
        </w:tc>
        <w:tc>
          <w:tcPr>
            <w:tcW w:w="1320" w:type="dxa"/>
            <w:tcBorders/>
            <w:vAlign w:val="center"/>
          </w:tcPr>
          <w:p>
            <w:pPr>
              <w:snapToGrid w:val="0"/>
              <w:jc w:val="right"/>
            </w:pPr>
            <w:r>
              <w:rPr>
                <w:rFonts w:ascii="宋体" w:eastAsia="宋体" w:hAnsi="宋体" w:cs="宋体"/>
                <w:b w:val="0"/>
                <w:i w:val="0"/>
                <w:color w:val="000000"/>
                <w:sz w:val="15"/>
              </w:rPr>
              <w:t xml:space="preserve">97,000.00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81,000.00</w:t>
            </w:r>
          </w:p>
        </w:tc>
        <w:tc>
          <w:tcPr>
            <w:tcW w:w="1320" w:type="dxa"/>
            <w:tcBorders/>
            <w:vAlign w:val="center"/>
          </w:tcPr>
          <w:p>
            <w:pPr>
              <w:snapToGrid w:val="0"/>
              <w:jc w:val="right"/>
            </w:pPr>
            <w:r>
              <w:rPr>
                <w:rFonts w:ascii="宋体" w:eastAsia="宋体" w:hAnsi="宋体" w:cs="宋体"/>
                <w:b w:val="0"/>
                <w:i w:val="0"/>
                <w:color w:val="000000"/>
                <w:sz w:val="15"/>
              </w:rPr>
              <w:t xml:space="preserve">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16,000.00</w:t>
            </w:r>
          </w:p>
        </w:tc>
        <w:tc>
          <w:tcPr>
            <w:tcW w:w="1320" w:type="dxa"/>
            <w:tcBorders/>
            <w:vAlign w:val="center"/>
          </w:tcPr>
          <w:p>
            <w:pPr>
              <w:snapToGrid w:val="0"/>
              <w:jc w:val="right"/>
            </w:pPr>
            <w:r>
              <w:rPr>
                <w:rFonts w:ascii="宋体" w:eastAsia="宋体" w:hAnsi="宋体" w:cs="宋体"/>
                <w:b w:val="0"/>
                <w:i w:val="0"/>
                <w:color w:val="000000"/>
                <w:sz w:val="15"/>
              </w:rPr>
              <w:t xml:space="preserve">16,000.00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2,056,329.75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1,761,829.75</w:t>
            </w:r>
          </w:p>
        </w:tc>
        <w:tc>
          <w:tcPr>
            <w:tcW w:w="1420" w:type="dxa"/>
            <w:tcBorders/>
            <w:vAlign w:val="center"/>
          </w:tcPr>
          <w:p>
            <w:pPr>
              <w:snapToGrid w:val="0"/>
              <w:jc w:val="right"/>
            </w:pPr>
            <w:r>
              <w:rPr>
                <w:rFonts w:ascii="宋体" w:eastAsia="宋体" w:hAnsi="宋体" w:cs="宋体"/>
                <w:b w:val="0"/>
                <w:i w:val="0"/>
                <w:color w:val="000000"/>
                <w:sz w:val="16"/>
              </w:rPr>
              <w:t xml:space="preserve">1,761,829.75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197,096.76</w:t>
            </w:r>
          </w:p>
        </w:tc>
        <w:tc>
          <w:tcPr>
            <w:tcW w:w="1420" w:type="dxa"/>
            <w:tcBorders/>
            <w:vAlign w:val="center"/>
          </w:tcPr>
          <w:p>
            <w:pPr>
              <w:snapToGrid w:val="0"/>
              <w:jc w:val="right"/>
            </w:pPr>
            <w:r>
              <w:rPr>
                <w:rFonts w:ascii="宋体" w:eastAsia="宋体" w:hAnsi="宋体" w:cs="宋体"/>
                <w:b w:val="0"/>
                <w:i w:val="0"/>
                <w:color w:val="000000"/>
                <w:sz w:val="16"/>
              </w:rPr>
              <w:t xml:space="preserve">197,096.76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97,000.00</w:t>
            </w:r>
          </w:p>
        </w:tc>
        <w:tc>
          <w:tcPr>
            <w:tcW w:w="1420" w:type="dxa"/>
            <w:tcBorders/>
            <w:vAlign w:val="center"/>
          </w:tcPr>
          <w:p>
            <w:pPr>
              <w:snapToGrid w:val="0"/>
              <w:jc w:val="right"/>
            </w:pPr>
            <w:r>
              <w:rPr>
                <w:rFonts w:ascii="宋体" w:eastAsia="宋体" w:hAnsi="宋体" w:cs="宋体"/>
                <w:b w:val="0"/>
                <w:i w:val="0"/>
                <w:color w:val="000000"/>
                <w:sz w:val="16"/>
              </w:rPr>
              <w:t xml:space="preserve">97,000.00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2,056,329.75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2,055,926.51</w:t>
            </w:r>
          </w:p>
        </w:tc>
        <w:tc>
          <w:tcPr>
            <w:tcW w:w="1420" w:type="dxa"/>
            <w:tcBorders/>
            <w:vAlign w:val="center"/>
          </w:tcPr>
          <w:p>
            <w:pPr>
              <w:snapToGrid w:val="0"/>
              <w:jc w:val="right"/>
            </w:pPr>
            <w:r>
              <w:rPr>
                <w:rFonts w:ascii="宋体" w:eastAsia="宋体" w:hAnsi="宋体" w:cs="宋体"/>
                <w:b w:val="0"/>
                <w:i w:val="0"/>
                <w:color w:val="000000"/>
                <w:sz w:val="16"/>
              </w:rPr>
              <w:t xml:space="preserve">2,055,926.51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3,000.00</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3,403.24</w:t>
            </w:r>
          </w:p>
        </w:tc>
        <w:tc>
          <w:tcPr>
            <w:tcW w:w="1420" w:type="dxa"/>
            <w:tcBorders/>
            <w:vAlign w:val="center"/>
          </w:tcPr>
          <w:p>
            <w:pPr>
              <w:snapToGrid w:val="0"/>
              <w:jc w:val="right"/>
            </w:pPr>
            <w:r>
              <w:rPr>
                <w:rFonts w:ascii="宋体" w:eastAsia="宋体" w:hAnsi="宋体" w:cs="宋体"/>
                <w:b w:val="0"/>
                <w:i w:val="0"/>
                <w:color w:val="000000"/>
                <w:sz w:val="16"/>
              </w:rPr>
              <w:t xml:space="preserve">3,403.24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3,000.00</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2,059,329.75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2,059,329.75</w:t>
            </w:r>
          </w:p>
        </w:tc>
        <w:tc>
          <w:tcPr>
            <w:tcW w:w="1420" w:type="dxa"/>
            <w:tcBorders/>
            <w:vAlign w:val="center"/>
          </w:tcPr>
          <w:p>
            <w:pPr>
              <w:snapToGrid w:val="0"/>
              <w:jc w:val="right"/>
            </w:pPr>
            <w:r>
              <w:rPr>
                <w:rFonts w:ascii="宋体" w:eastAsia="宋体" w:hAnsi="宋体" w:cs="宋体"/>
                <w:b w:val="0"/>
                <w:i w:val="0"/>
                <w:color w:val="000000"/>
                <w:sz w:val="16"/>
              </w:rPr>
              <w:t xml:space="preserve">2,059,329.75</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2,055,926.51</w:t>
            </w:r>
          </w:p>
        </w:tc>
        <w:tc>
          <w:tcPr>
            <w:tcW w:w="1720" w:type="dxa"/>
            <w:tcBorders/>
            <w:vAlign w:val="center"/>
          </w:tcPr>
          <w:p>
            <w:pPr>
              <w:snapToGrid w:val="0"/>
              <w:jc w:val="right"/>
            </w:pPr>
            <w:r>
              <w:rPr>
                <w:rFonts w:ascii="宋体" w:eastAsia="宋体" w:hAnsi="宋体" w:cs="宋体"/>
                <w:b w:val="0"/>
                <w:i w:val="0"/>
                <w:color w:val="000000"/>
                <w:sz w:val="20"/>
              </w:rPr>
              <w:t xml:space="preserve">1,856,779.12</w:t>
            </w:r>
          </w:p>
        </w:tc>
        <w:tc>
          <w:tcPr>
            <w:tcW w:w="1720" w:type="dxa"/>
            <w:tcBorders/>
            <w:vAlign w:val="center"/>
          </w:tcPr>
          <w:p>
            <w:pPr>
              <w:snapToGrid w:val="0"/>
              <w:jc w:val="right"/>
            </w:pPr>
            <w:r>
              <w:rPr>
                <w:rFonts w:ascii="宋体" w:eastAsia="宋体" w:hAnsi="宋体" w:cs="宋体"/>
                <w:b w:val="0"/>
                <w:i w:val="0"/>
                <w:color w:val="000000"/>
                <w:sz w:val="20"/>
              </w:rPr>
              <w:t xml:space="preserve">1,673,391.76</w:t>
            </w:r>
          </w:p>
        </w:tc>
        <w:tc>
          <w:tcPr>
            <w:tcW w:w="1720" w:type="dxa"/>
            <w:tcBorders/>
            <w:vAlign w:val="center"/>
          </w:tcPr>
          <w:p>
            <w:pPr>
              <w:snapToGrid w:val="0"/>
              <w:jc w:val="right"/>
            </w:pPr>
            <w:r>
              <w:rPr>
                <w:rFonts w:ascii="宋体" w:eastAsia="宋体" w:hAnsi="宋体" w:cs="宋体"/>
                <w:b w:val="0"/>
                <w:i w:val="0"/>
                <w:color w:val="000000"/>
                <w:sz w:val="20"/>
              </w:rPr>
              <w:t xml:space="preserve">183,387.36</w:t>
            </w:r>
          </w:p>
        </w:tc>
        <w:tc>
          <w:tcPr>
            <w:tcW w:w="1698" w:type="dxa"/>
            <w:tcBorders/>
            <w:vAlign w:val="center"/>
          </w:tcPr>
          <w:p>
            <w:pPr>
              <w:snapToGrid w:val="0"/>
              <w:jc w:val="right"/>
            </w:pPr>
            <w:r>
              <w:rPr>
                <w:rFonts w:ascii="宋体" w:eastAsia="宋体" w:hAnsi="宋体" w:cs="宋体"/>
                <w:b w:val="0"/>
                <w:i w:val="0"/>
                <w:color w:val="000000"/>
                <w:sz w:val="20"/>
              </w:rPr>
              <w:t xml:space="preserve">199,147.39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1,761,829.75</w:t>
            </w:r>
          </w:p>
        </w:tc>
        <w:tc>
          <w:tcPr>
            <w:tcW w:w="1720" w:type="dxa"/>
            <w:tcBorders/>
            <w:vAlign w:val="center"/>
          </w:tcPr>
          <w:p>
            <w:pPr>
              <w:snapToGrid w:val="0"/>
              <w:jc w:val="right"/>
            </w:pPr>
            <w:r>
              <w:rPr>
                <w:rFonts w:ascii="宋体" w:eastAsia="宋体" w:hAnsi="宋体" w:cs="宋体"/>
                <w:b w:val="0"/>
                <w:i w:val="0"/>
                <w:color w:val="000000"/>
                <w:sz w:val="20"/>
              </w:rPr>
              <w:t xml:space="preserve">1,562,682.36</w:t>
            </w:r>
          </w:p>
        </w:tc>
        <w:tc>
          <w:tcPr>
            <w:tcW w:w="1720" w:type="dxa"/>
            <w:tcBorders/>
            <w:vAlign w:val="center"/>
          </w:tcPr>
          <w:p>
            <w:pPr>
              <w:snapToGrid w:val="0"/>
              <w:jc w:val="right"/>
            </w:pPr>
            <w:r>
              <w:rPr>
                <w:rFonts w:ascii="宋体" w:eastAsia="宋体" w:hAnsi="宋体" w:cs="宋体"/>
                <w:b w:val="0"/>
                <w:i w:val="0"/>
                <w:color w:val="000000"/>
                <w:sz w:val="20"/>
              </w:rPr>
              <w:t xml:space="preserve">1,379,295.00</w:t>
            </w:r>
          </w:p>
        </w:tc>
        <w:tc>
          <w:tcPr>
            <w:tcW w:w="1720" w:type="dxa"/>
            <w:tcBorders/>
            <w:vAlign w:val="center"/>
          </w:tcPr>
          <w:p>
            <w:pPr>
              <w:snapToGrid w:val="0"/>
              <w:jc w:val="right"/>
            </w:pPr>
            <w:r>
              <w:rPr>
                <w:rFonts w:ascii="宋体" w:eastAsia="宋体" w:hAnsi="宋体" w:cs="宋体"/>
                <w:b w:val="0"/>
                <w:i w:val="0"/>
                <w:color w:val="000000"/>
                <w:sz w:val="20"/>
              </w:rPr>
              <w:t xml:space="preserve">183,387.36</w:t>
            </w:r>
          </w:p>
        </w:tc>
        <w:tc>
          <w:tcPr>
            <w:tcW w:w="1698" w:type="dxa"/>
            <w:tcBorders/>
            <w:vAlign w:val="center"/>
          </w:tcPr>
          <w:p>
            <w:pPr>
              <w:snapToGrid w:val="0"/>
              <w:jc w:val="right"/>
            </w:pPr>
            <w:r>
              <w:rPr>
                <w:rFonts w:ascii="宋体" w:eastAsia="宋体" w:hAnsi="宋体" w:cs="宋体"/>
                <w:b w:val="0"/>
                <w:i w:val="0"/>
                <w:color w:val="000000"/>
                <w:sz w:val="20"/>
              </w:rPr>
              <w:t xml:space="preserve">199,147.39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w:t>
            </w:r>
          </w:p>
        </w:tc>
        <w:tc>
          <w:tcPr>
            <w:tcW w:w="3480" w:type="dxa"/>
            <w:tcBorders/>
            <w:vAlign w:val="center"/>
          </w:tcPr>
          <w:p>
            <w:pPr>
              <w:snapToGrid w:val="0"/>
              <w:jc w:val="left"/>
            </w:pPr>
            <w:r>
              <w:rPr>
                <w:rFonts w:ascii="宋体" w:eastAsia="宋体" w:hAnsi="宋体" w:cs="宋体"/>
                <w:b w:val="0"/>
                <w:i w:val="0"/>
                <w:color w:val="000000"/>
                <w:sz w:val="20"/>
              </w:rPr>
              <w:t xml:space="preserve">群众团体事务</w:t>
            </w:r>
          </w:p>
        </w:tc>
        <w:tc>
          <w:tcPr>
            <w:tcW w:w="1720" w:type="dxa"/>
            <w:tcBorders/>
            <w:vAlign w:val="center"/>
          </w:tcPr>
          <w:p>
            <w:pPr>
              <w:snapToGrid w:val="0"/>
              <w:jc w:val="right"/>
            </w:pPr>
            <w:r>
              <w:rPr>
                <w:rFonts w:ascii="宋体" w:eastAsia="宋体" w:hAnsi="宋体" w:cs="宋体"/>
                <w:b w:val="0"/>
                <w:i w:val="0"/>
                <w:color w:val="000000"/>
                <w:sz w:val="20"/>
              </w:rPr>
              <w:t xml:space="preserve">1,761,829.75</w:t>
            </w:r>
          </w:p>
        </w:tc>
        <w:tc>
          <w:tcPr>
            <w:tcW w:w="1720" w:type="dxa"/>
            <w:tcBorders/>
            <w:vAlign w:val="center"/>
          </w:tcPr>
          <w:p>
            <w:pPr>
              <w:snapToGrid w:val="0"/>
              <w:jc w:val="right"/>
            </w:pPr>
            <w:r>
              <w:rPr>
                <w:rFonts w:ascii="宋体" w:eastAsia="宋体" w:hAnsi="宋体" w:cs="宋体"/>
                <w:b w:val="0"/>
                <w:i w:val="0"/>
                <w:color w:val="000000"/>
                <w:sz w:val="20"/>
              </w:rPr>
              <w:t xml:space="preserve">1,562,682.36</w:t>
            </w:r>
          </w:p>
        </w:tc>
        <w:tc>
          <w:tcPr>
            <w:tcW w:w="1720" w:type="dxa"/>
            <w:tcBorders/>
            <w:vAlign w:val="center"/>
          </w:tcPr>
          <w:p>
            <w:pPr>
              <w:snapToGrid w:val="0"/>
              <w:jc w:val="right"/>
            </w:pPr>
            <w:r>
              <w:rPr>
                <w:rFonts w:ascii="宋体" w:eastAsia="宋体" w:hAnsi="宋体" w:cs="宋体"/>
                <w:b w:val="0"/>
                <w:i w:val="0"/>
                <w:color w:val="000000"/>
                <w:sz w:val="20"/>
              </w:rPr>
              <w:t xml:space="preserve">1,379,295.00</w:t>
            </w:r>
          </w:p>
        </w:tc>
        <w:tc>
          <w:tcPr>
            <w:tcW w:w="1720" w:type="dxa"/>
            <w:tcBorders/>
            <w:vAlign w:val="center"/>
          </w:tcPr>
          <w:p>
            <w:pPr>
              <w:snapToGrid w:val="0"/>
              <w:jc w:val="right"/>
            </w:pPr>
            <w:r>
              <w:rPr>
                <w:rFonts w:ascii="宋体" w:eastAsia="宋体" w:hAnsi="宋体" w:cs="宋体"/>
                <w:b w:val="0"/>
                <w:i w:val="0"/>
                <w:color w:val="000000"/>
                <w:sz w:val="20"/>
              </w:rPr>
              <w:t xml:space="preserve">183,387.36</w:t>
            </w:r>
          </w:p>
        </w:tc>
        <w:tc>
          <w:tcPr>
            <w:tcW w:w="1698" w:type="dxa"/>
            <w:tcBorders/>
            <w:vAlign w:val="center"/>
          </w:tcPr>
          <w:p>
            <w:pPr>
              <w:snapToGrid w:val="0"/>
              <w:jc w:val="right"/>
            </w:pPr>
            <w:r>
              <w:rPr>
                <w:rFonts w:ascii="宋体" w:eastAsia="宋体" w:hAnsi="宋体" w:cs="宋体"/>
                <w:b w:val="0"/>
                <w:i w:val="0"/>
                <w:color w:val="000000"/>
                <w:sz w:val="20"/>
              </w:rPr>
              <w:t xml:space="preserve">199,147.39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1,562,682.36</w:t>
            </w:r>
          </w:p>
        </w:tc>
        <w:tc>
          <w:tcPr>
            <w:tcW w:w="1720" w:type="dxa"/>
            <w:tcBorders/>
            <w:vAlign w:val="center"/>
          </w:tcPr>
          <w:p>
            <w:pPr>
              <w:snapToGrid w:val="0"/>
              <w:jc w:val="right"/>
            </w:pPr>
            <w:r>
              <w:rPr>
                <w:rFonts w:ascii="宋体" w:eastAsia="宋体" w:hAnsi="宋体" w:cs="宋体"/>
                <w:b w:val="0"/>
                <w:i w:val="0"/>
                <w:color w:val="000000"/>
                <w:sz w:val="20"/>
              </w:rPr>
              <w:t xml:space="preserve">1,562,682.36</w:t>
            </w:r>
          </w:p>
        </w:tc>
        <w:tc>
          <w:tcPr>
            <w:tcW w:w="1720" w:type="dxa"/>
            <w:tcBorders/>
            <w:vAlign w:val="center"/>
          </w:tcPr>
          <w:p>
            <w:pPr>
              <w:snapToGrid w:val="0"/>
              <w:jc w:val="right"/>
            </w:pPr>
            <w:r>
              <w:rPr>
                <w:rFonts w:ascii="宋体" w:eastAsia="宋体" w:hAnsi="宋体" w:cs="宋体"/>
                <w:b w:val="0"/>
                <w:i w:val="0"/>
                <w:color w:val="000000"/>
                <w:sz w:val="20"/>
              </w:rPr>
              <w:t xml:space="preserve">1,379,295.00</w:t>
            </w:r>
          </w:p>
        </w:tc>
        <w:tc>
          <w:tcPr>
            <w:tcW w:w="1720" w:type="dxa"/>
            <w:tcBorders/>
            <w:vAlign w:val="center"/>
          </w:tcPr>
          <w:p>
            <w:pPr>
              <w:snapToGrid w:val="0"/>
              <w:jc w:val="right"/>
            </w:pPr>
            <w:r>
              <w:rPr>
                <w:rFonts w:ascii="宋体" w:eastAsia="宋体" w:hAnsi="宋体" w:cs="宋体"/>
                <w:b w:val="0"/>
                <w:i w:val="0"/>
                <w:color w:val="000000"/>
                <w:sz w:val="20"/>
              </w:rPr>
              <w:t xml:space="preserve">183,387.36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2012999</w:t>
            </w:r>
          </w:p>
        </w:tc>
        <w:tc>
          <w:tcPr>
            <w:tcW w:w="3480" w:type="dxa"/>
            <w:tcBorders/>
            <w:vAlign w:val="center"/>
          </w:tcPr>
          <w:p>
            <w:pPr>
              <w:snapToGrid w:val="0"/>
              <w:jc w:val="left"/>
            </w:pPr>
            <w:r>
              <w:rPr>
                <w:rFonts w:ascii="宋体" w:eastAsia="宋体" w:hAnsi="宋体" w:cs="宋体"/>
                <w:b w:val="0"/>
                <w:i w:val="0"/>
                <w:color w:val="000000"/>
                <w:sz w:val="20"/>
              </w:rPr>
              <w:t xml:space="preserve">其他群众团体事务支出</w:t>
            </w:r>
          </w:p>
        </w:tc>
        <w:tc>
          <w:tcPr>
            <w:tcW w:w="1720" w:type="dxa"/>
            <w:tcBorders/>
            <w:vAlign w:val="center"/>
          </w:tcPr>
          <w:p>
            <w:pPr>
              <w:snapToGrid w:val="0"/>
              <w:jc w:val="right"/>
            </w:pPr>
            <w:r>
              <w:rPr>
                <w:rFonts w:ascii="宋体" w:eastAsia="宋体" w:hAnsi="宋体" w:cs="宋体"/>
                <w:b w:val="0"/>
                <w:i w:val="0"/>
                <w:color w:val="000000"/>
                <w:sz w:val="20"/>
              </w:rPr>
              <w:t xml:space="preserve">199,147.39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199,147.39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snapToGrid w:val="0"/>
              <w:jc w:val="right"/>
            </w:pPr>
            <w:r>
              <w:rPr>
                <w:rFonts w:ascii="宋体" w:eastAsia="宋体" w:hAnsi="宋体" w:cs="宋体"/>
                <w:b w:val="0"/>
                <w:i w:val="0"/>
                <w:color w:val="000000"/>
                <w:sz w:val="20"/>
              </w:rPr>
              <w:t xml:space="preserve">197,096.76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132,096.76</w:t>
            </w:r>
          </w:p>
        </w:tc>
        <w:tc>
          <w:tcPr>
            <w:tcW w:w="1720" w:type="dxa"/>
            <w:tcBorders/>
            <w:vAlign w:val="center"/>
          </w:tcPr>
          <w:p>
            <w:pPr>
              <w:snapToGrid w:val="0"/>
              <w:jc w:val="right"/>
            </w:pPr>
            <w:r>
              <w:rPr>
                <w:rFonts w:ascii="宋体" w:eastAsia="宋体" w:hAnsi="宋体" w:cs="宋体"/>
                <w:b w:val="0"/>
                <w:i w:val="0"/>
                <w:color w:val="000000"/>
                <w:sz w:val="20"/>
              </w:rPr>
              <w:t xml:space="preserve">132,096.76</w:t>
            </w:r>
          </w:p>
        </w:tc>
        <w:tc>
          <w:tcPr>
            <w:tcW w:w="1720" w:type="dxa"/>
            <w:tcBorders/>
            <w:vAlign w:val="center"/>
          </w:tcPr>
          <w:p>
            <w:pPr>
              <w:snapToGrid w:val="0"/>
              <w:jc w:val="right"/>
            </w:pPr>
            <w:r>
              <w:rPr>
                <w:rFonts w:ascii="宋体" w:eastAsia="宋体" w:hAnsi="宋体" w:cs="宋体"/>
                <w:b w:val="0"/>
                <w:i w:val="0"/>
                <w:color w:val="000000"/>
                <w:sz w:val="20"/>
              </w:rPr>
              <w:t xml:space="preserve">132,096.76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65,000.00</w:t>
            </w:r>
          </w:p>
        </w:tc>
        <w:tc>
          <w:tcPr>
            <w:tcW w:w="1720" w:type="dxa"/>
            <w:tcBorders/>
            <w:vAlign w:val="center"/>
          </w:tcPr>
          <w:p>
            <w:pPr>
              <w:snapToGrid w:val="0"/>
              <w:jc w:val="right"/>
            </w:pPr>
            <w:r>
              <w:rPr>
                <w:rFonts w:ascii="宋体" w:eastAsia="宋体" w:hAnsi="宋体" w:cs="宋体"/>
                <w:b w:val="0"/>
                <w:i w:val="0"/>
                <w:color w:val="000000"/>
                <w:sz w:val="20"/>
              </w:rPr>
              <w:t xml:space="preserve">65,000.00</w:t>
            </w:r>
          </w:p>
        </w:tc>
        <w:tc>
          <w:tcPr>
            <w:tcW w:w="1720" w:type="dxa"/>
            <w:tcBorders/>
            <w:vAlign w:val="center"/>
          </w:tcPr>
          <w:p>
            <w:pPr>
              <w:snapToGrid w:val="0"/>
              <w:jc w:val="right"/>
            </w:pPr>
            <w:r>
              <w:rPr>
                <w:rFonts w:ascii="宋体" w:eastAsia="宋体" w:hAnsi="宋体" w:cs="宋体"/>
                <w:b w:val="0"/>
                <w:i w:val="0"/>
                <w:color w:val="000000"/>
                <w:sz w:val="20"/>
              </w:rPr>
              <w:t xml:space="preserve">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snapToGrid w:val="0"/>
              <w:jc w:val="right"/>
            </w:pPr>
            <w:r>
              <w:rPr>
                <w:rFonts w:ascii="宋体" w:eastAsia="宋体" w:hAnsi="宋体" w:cs="宋体"/>
                <w:b w:val="0"/>
                <w:i w:val="0"/>
                <w:color w:val="000000"/>
                <w:sz w:val="20"/>
              </w:rPr>
              <w:t xml:space="preserve">97,000.00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81,000.00</w:t>
            </w:r>
          </w:p>
        </w:tc>
        <w:tc>
          <w:tcPr>
            <w:tcW w:w="1720" w:type="dxa"/>
            <w:tcBorders/>
            <w:vAlign w:val="center"/>
          </w:tcPr>
          <w:p>
            <w:pPr>
              <w:snapToGrid w:val="0"/>
              <w:jc w:val="right"/>
            </w:pPr>
            <w:r>
              <w:rPr>
                <w:rFonts w:ascii="宋体" w:eastAsia="宋体" w:hAnsi="宋体" w:cs="宋体"/>
                <w:b w:val="0"/>
                <w:i w:val="0"/>
                <w:color w:val="000000"/>
                <w:sz w:val="20"/>
              </w:rPr>
              <w:t xml:space="preserve">81,000.00</w:t>
            </w:r>
          </w:p>
        </w:tc>
        <w:tc>
          <w:tcPr>
            <w:tcW w:w="1720" w:type="dxa"/>
            <w:tcBorders/>
            <w:vAlign w:val="center"/>
          </w:tcPr>
          <w:p>
            <w:pPr>
              <w:snapToGrid w:val="0"/>
              <w:jc w:val="right"/>
            </w:pPr>
            <w:r>
              <w:rPr>
                <w:rFonts w:ascii="宋体" w:eastAsia="宋体" w:hAnsi="宋体" w:cs="宋体"/>
                <w:b w:val="0"/>
                <w:i w:val="0"/>
                <w:color w:val="000000"/>
                <w:sz w:val="20"/>
              </w:rPr>
              <w:t xml:space="preserve">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snapToGrid w:val="0"/>
              <w:jc w:val="right"/>
            </w:pPr>
            <w:r>
              <w:rPr>
                <w:rFonts w:ascii="宋体" w:eastAsia="宋体" w:hAnsi="宋体" w:cs="宋体"/>
                <w:b w:val="0"/>
                <w:i w:val="0"/>
                <w:color w:val="000000"/>
                <w:sz w:val="20"/>
              </w:rPr>
              <w:t xml:space="preserve">16,000.00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1,673,391.76</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183,387.36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316,116.00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9,996.83</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348,126.00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252,200.00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164.50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130,306.56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4,606.03</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65,153.28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800.00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81,441.84</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16,288.32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1,628.76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13,500.00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413,178.00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48,953.00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6,700.00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73,320.00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8,200.00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53,100.00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1,673,391.76</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183,387.36</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天津市欧美同学会2024年度政府性基金预算财政拨款收入支出决算表为空表。</w:t>
      </w:r>
      <w:bookmarkStart w:id="31" w:name="_Toc1662304910"/>
      <w:bookmarkStart w:id="32" w:name="_Toc816430520"/>
      <w:bookmarkStart w:id="33" w:name="_Toc1951730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天津市欧美同学会2024年国有资本经营预算财政拨款收入支出决算表为空表。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天津市欧美同学会2024年财政拨款“三公”经费支出决算表为空表。</w:t>
      </w:r>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785173"/>
      <w:bookmarkStart w:id="41" w:name="_Toc18079597"/>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单位：天津市欧美同学会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w:t>
            </w:r>
          </w:p>
        </w:tc>
        <w:tc>
          <w:tcPr>
            <w:tcW w:w="456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w:t>
            </w:r>
          </w:p>
        </w:tc>
        <w:tc>
          <w:tcPr>
            <w:tcW w:w="4560" w:type="dxa"/>
            <w:tcBorders/>
            <w:vAlign w:val="center"/>
          </w:tcPr>
          <w:p>
            <w:pPr>
              <w:snapToGrid w:val="0"/>
              <w:jc w:val="left"/>
            </w:pPr>
            <w:r>
              <w:rPr>
                <w:rFonts w:ascii="宋体" w:eastAsia="宋体" w:hAnsi="宋体" w:cs="宋体"/>
                <w:b w:val="0"/>
                <w:i w:val="0"/>
                <w:color w:val="000000"/>
                <w:sz w:val="16"/>
              </w:rPr>
              <w:t xml:space="preserve">群众团体事务</w:t>
            </w:r>
          </w:p>
        </w:tc>
        <w:tc>
          <w:tcPr>
            <w:tcW w:w="12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2012999</w:t>
            </w:r>
          </w:p>
        </w:tc>
        <w:tc>
          <w:tcPr>
            <w:tcW w:w="4560" w:type="dxa"/>
            <w:tcBorders/>
            <w:vAlign w:val="center"/>
          </w:tcPr>
          <w:p>
            <w:pPr>
              <w:snapToGrid w:val="0"/>
              <w:jc w:val="left"/>
            </w:pPr>
            <w:r>
              <w:rPr>
                <w:rFonts w:ascii="宋体" w:eastAsia="宋体" w:hAnsi="宋体" w:cs="宋体"/>
                <w:b w:val="0"/>
                <w:i w:val="0"/>
                <w:color w:val="000000"/>
                <w:sz w:val="16"/>
              </w:rPr>
              <w:t xml:space="preserve">其他群众团体事务支出</w:t>
            </w:r>
          </w:p>
        </w:tc>
        <w:tc>
          <w:tcPr>
            <w:tcW w:w="12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2012999</w:t>
            </w:r>
          </w:p>
        </w:tc>
        <w:tc>
          <w:tcPr>
            <w:tcW w:w="4560" w:type="dxa"/>
            <w:tcBorders/>
            <w:vAlign w:val="center"/>
          </w:tcPr>
          <w:p>
            <w:pPr>
              <w:snapToGrid w:val="0"/>
              <w:jc w:val="left"/>
            </w:pPr>
            <w:r>
              <w:rPr>
                <w:rFonts w:ascii="宋体" w:eastAsia="宋体" w:hAnsi="宋体" w:cs="宋体"/>
                <w:b w:val="0"/>
                <w:i w:val="0"/>
                <w:color w:val="000000"/>
                <w:sz w:val="16"/>
              </w:rPr>
              <w:t xml:space="preserve">市欧美同学会2024年系列主题活动及履职能力提升</w:t>
            </w:r>
          </w:p>
        </w:tc>
        <w:tc>
          <w:tcPr>
            <w:tcW w:w="12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snapToGrid w:val="0"/>
              <w:jc w:val="right"/>
            </w:pPr>
            <w:r>
              <w:rPr>
                <w:rFonts w:ascii="宋体" w:eastAsia="宋体" w:hAnsi="宋体" w:cs="宋体"/>
                <w:b w:val="0"/>
                <w:i w:val="0"/>
                <w:color w:val="000000"/>
                <w:sz w:val="16"/>
              </w:rPr>
              <w:t xml:space="preserve">199,147.39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229642691"/>
      <w:bookmarkStart w:id="44" w:name="_Toc245797798"/>
      <w:bookmarkStart w:id="45" w:name="_Toc190171269"/>
      <w:bookmarkStart w:id="46" w:name="_Toc1068592552"/>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2,059,388.90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增加16,611.41元，增长0.813%</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本单位人员晋职晋级，相关经费增加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一般公共预算财政拨款收入2,056,329.75元、其他收入59.15元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一般公共服务支出1,761,829.75元、社会保障和就业支出197,096.76元、卫生健康支出97,000.00元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2,056,388.90</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增加13,611.41元，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本单位人员晋职晋级，相关经费增加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一般公共预算财政拨款收入2,056,329.75元，占99.997%；其他收入59.15元，占0.003%</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2,055,926.51</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增加14,068.29元，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本单位人员晋职晋级，相关经费增加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基本支出1,856,779.12元，占90.313%；项目支出199,147.39元，占9.687%</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2,059,329.75</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增加16,607.89元，增长0.813%，</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本单位人员晋职晋级，相关经费增加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一般公共预算财政拨款2,056,329.75元、年初财政拨款结转和结余3,000.00元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一般公共服务支出1,761,829.75元、社会保障和就业支出197,096.76元、卫生健康支出97,000.00元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天津市欧美同学会2024年度部门决算一般公共预算财政拨款支出合计2,055,926.51元，占本年支出合计的100.000%。与2023年度相比，一般公共预算财政拨款支出</w:t>
      </w:r>
      <w:r>
        <w:rPr>
          <w:rFonts w:eastAsia="仿宋_GB2312" w:hint="eastAsia"/>
          <w:sz w:val="30"/>
          <w:szCs w:val="30"/>
          <w:highlight w:val="none"/>
          <w:u w:val="none"/>
          <w:lang w:val="en-US" w:eastAsia="zh-CN"/>
        </w:rPr>
        <w:t xml:space="preserve">增加14,068.29元</w:t>
      </w:r>
      <w:r>
        <w:rPr>
          <w:rFonts w:eastAsia="仿宋_GB2312" w:hint="eastAsia"/>
          <w:sz w:val="30"/>
          <w:szCs w:val="30"/>
          <w:highlight w:val="none"/>
          <w:u w:val="none"/>
          <w:lang w:val="en-US" w:eastAsia="zh-CN"/>
        </w:rPr>
        <w:t xml:space="preserve">，增长0.689%</w:t>
      </w:r>
      <w:r>
        <w:rPr>
          <w:rFonts w:eastAsia="仿宋_GB2312" w:hint="eastAsia"/>
          <w:sz w:val="30"/>
          <w:szCs w:val="30"/>
          <w:highlight w:val="none"/>
          <w:u w:val="none"/>
          <w:lang w:val="en-US" w:eastAsia="zh-CN"/>
        </w:rPr>
        <w:t xml:space="preserve">，主要原因是本单位人员晋职晋级，相关经费增加。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2024年度一般公共预算财政拨款支出2,055,926.51元，主要用于以下方面：</w:t>
      </w:r>
      <w:r>
        <w:rPr>
          <w:rFonts w:eastAsia="仿宋_GB2312" w:hint="eastAsia"/>
          <w:sz w:val="30"/>
          <w:szCs w:val="30"/>
          <w:highlight w:val="none"/>
          <w:u w:val="none"/>
          <w:lang w:val="en-US" w:eastAsia="zh-CN"/>
        </w:rPr>
        <w:t xml:space="preserve">一般公共服务支出（类）支出1,761,829.75元，占85.695%,社会保障和就业支出（类）支出197,096.76元，占9.587%,卫生健康支出（类）支出97,000.00元，占4.718%</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2024年度一般公共预算财政拨款支出年初预算为2,012,000.00元，支出决算为2,055,926.51元</w:t>
      </w:r>
      <w:r>
        <w:rPr>
          <w:rFonts w:eastAsia="仿宋_GB2312" w:hint="eastAsia"/>
          <w:sz w:val="30"/>
          <w:szCs w:val="30"/>
          <w:highlight w:val="none"/>
          <w:u w:val="none"/>
          <w:lang w:val="en-US" w:eastAsia="zh-CN"/>
        </w:rPr>
        <w:t xml:space="preserve">，完成年初预算的102.183%</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1.一般公共服务支出（类）群众团体事务（款）行政运行（项）年初预算为1,520,000.00元，支出决算为1,562,682.36元，完成年初预算的102.808%，决算数大于预算数的主要原因是：本单位人员晋职晋级，相关经费增加。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一般公共服务支出（类）群众团体事务（款）其他群众团体事务支出（项）年初预算为200,000.00元，支出决算为199,147.39元，完成年初预算的99.574%，决算数小于预算数的主要原因是：本着厉行节约的原则压减开支。</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社会保障和就业支出（类）行政事业单位养老支出（款）机关事业单位基本养老保险缴费支出（项）年初预算为130,000.00元，支出决算为132,096.76元，完成年初预算的101.613%，决算数大于预算数的主要原因是：本单位人员晋职晋级，相关经费增加。</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职业年金缴费支出（项）年初预算为65,000.00元，支出决算为65,000.00元，完成年初预算的100.000%，决算数与预算数持平的主要原因是：严格按照本年度年初预算开展本单位工作。</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卫生健康支出（类）行政事业单位医疗（款）行政单位医疗（项）年初预算为81,000.00元，支出决算为81,000.00元，完成年初预算的100.000%，决算数与预算数持平的主要原因是：严格按照本年度年初预算开展本单位工作。</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公务员医疗补助（项）年初预算为16,000.00元，支出决算为16,000.00元，完成年初预算的100.000%，决算数与预算数持平的主要原因是：严格按照本年度年初预算开展本单位工作。</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1,856,779.12</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增加13,178.70元，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本单位人员晋职晋级，相关经费增加</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人员经费1,673,391.76元，主要包括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公用经费183,387.36元，主要包括</w:t>
      </w:r>
      <w:r>
        <w:rPr>
          <w:rFonts w:eastAsia="仿宋_GB2312" w:hint="eastAsia"/>
          <w:sz w:val="30"/>
          <w:szCs w:val="30"/>
          <w:highlight w:val="none"/>
          <w:u w:val="none"/>
          <w:lang w:val="en-US" w:eastAsia="zh-CN"/>
        </w:rPr>
        <w:t xml:space="preserve">办公费、手续费、电费、邮电费、差旅费、工会经费、福利费、其他交通费用、税金及附加费用、其他商品和服务支出</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314288823"/>
      <w:bookmarkStart w:id="73" w:name="_Toc568131460"/>
      <w:bookmarkStart w:id="74" w:name="_Toc157358551"/>
      <w:bookmarkStart w:id="75" w:name="_Toc1070516966"/>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1589960188"/>
      <w:bookmarkStart w:id="77" w:name="_Toc560652996"/>
      <w:bookmarkStart w:id="78" w:name="_Toc873153658"/>
      <w:bookmarkStart w:id="79" w:name="_Toc1172797200"/>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天津市欧美同学会2024年度无国有资本经营预算财政拨款收入、支出和结转结余。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597628234"/>
      <w:bookmarkStart w:id="82" w:name="_Toc1321860095"/>
      <w:bookmarkStart w:id="83"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支出决算较上年减少877.00元</w:t>
      </w:r>
      <w:r>
        <w:rPr>
          <w:rFonts w:eastAsia="仿宋_GB2312" w:hint="eastAsia"/>
          <w:sz w:val="30"/>
          <w:szCs w:val="30"/>
          <w:highlight w:val="none"/>
          <w:u w:val="none"/>
          <w:lang w:val="en-US" w:eastAsia="zh-CN"/>
        </w:rPr>
        <w:t xml:space="preserve">，下降100.000%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决算数与预算数持平的主要原因是本年度未用财政拨款经费列支“三公”经费支出；</w:t>
      </w:r>
      <w:r>
        <w:rPr>
          <w:rFonts w:eastAsia="仿宋_GB2312" w:hint="eastAsia"/>
          <w:sz w:val="30"/>
          <w:szCs w:val="30"/>
          <w:highlight w:val="none"/>
          <w:u w:val="none"/>
          <w:lang w:val="en-US" w:eastAsia="zh-CN"/>
        </w:rPr>
        <w:t xml:space="preserve">决算数较上年减少的主要原因是本年度未用财政拨款经费列支“三公”经费支出。</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决算数与预算数持平的主要原因是本年度未用财政拨款经费列支因公出国（境）费；</w:t>
      </w:r>
      <w:r>
        <w:rPr>
          <w:rFonts w:eastAsia="仿宋_GB2312" w:hint="eastAsia"/>
          <w:sz w:val="30"/>
          <w:szCs w:val="30"/>
          <w:highlight w:val="none"/>
          <w:u w:val="none"/>
          <w:lang w:val="en-US" w:eastAsia="zh-CN"/>
        </w:rPr>
        <w:t xml:space="preserve">决算数较上年持平的主要原因是本年度未用财政拨款经费列支因公出国（境）费。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决算数与预算数持平的主要原因是本年度未用财政拨款经费列支公务用车购置及运行维护费；</w:t>
      </w:r>
      <w:r>
        <w:rPr>
          <w:rFonts w:eastAsia="仿宋_GB2312" w:hint="eastAsia"/>
          <w:sz w:val="30"/>
          <w:szCs w:val="30"/>
          <w:highlight w:val="none"/>
          <w:u w:val="none"/>
          <w:lang w:val="en-US" w:eastAsia="zh-CN"/>
        </w:rPr>
        <w:t xml:space="preserve">决算数较上年持平的主要原因是本年度未用财政拨款经费列支公务用车购置及运行维护费。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决算数与预算数持平的主要原因是本年度未用财政拨款经费列支公务用车运行维护费；</w:t>
      </w:r>
      <w:r>
        <w:rPr>
          <w:rFonts w:eastAsia="仿宋_GB2312" w:hint="eastAsia"/>
          <w:sz w:val="30"/>
          <w:szCs w:val="30"/>
          <w:highlight w:val="none"/>
          <w:u w:val="none"/>
          <w:lang w:val="en-US" w:eastAsia="zh-CN"/>
        </w:rPr>
        <w:t xml:space="preserve">决算数较上年持平的主要原因是本年度未用财政拨款经费列支公务用车运行维护费。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支出决算较上年减少877.00元</w:t>
      </w:r>
      <w:r>
        <w:rPr>
          <w:rFonts w:ascii="Times New Roman" w:eastAsia="仿宋_GB2312" w:hAnsi="Times New Roman" w:cs="Times New Roman" w:hint="eastAsia"/>
          <w:sz w:val="30"/>
          <w:szCs w:val="30"/>
          <w:highlight w:val="none"/>
          <w:u w:val="none"/>
          <w:lang w:val="en-US" w:eastAsia="zh-CN"/>
        </w:rPr>
        <w:t xml:space="preserve">，下降100.000%</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决算数与预算数持平的主要原因是本年度未用财政拨款经费列支公务接待费；</w:t>
      </w:r>
      <w:r>
        <w:rPr>
          <w:rFonts w:ascii="Times New Roman" w:eastAsia="仿宋_GB2312" w:hAnsi="Times New Roman" w:cs="Times New Roman" w:hint="eastAsia"/>
          <w:sz w:val="30"/>
          <w:szCs w:val="30"/>
          <w:highlight w:val="none"/>
          <w:u w:val="none"/>
          <w:lang w:val="en-US" w:eastAsia="zh-CN"/>
        </w:rPr>
        <w:t xml:space="preserve">决算数较上年减少的主要原因是本年度未用财政拨款经费列支公务接待费。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0786419"/>
      <w:bookmarkStart w:id="89" w:name="_Toc2102885201"/>
      <w:bookmarkStart w:id="90" w:name="_Toc1349690397"/>
      <w:bookmarkStart w:id="91"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机关运行经费是指行政单位和参照公务员法管理的事业单位使用财政拨款安排的基本支出中的日常公用经费支出，天津市欧美同学会2024年度机关运行经费年初预算185,000.00元，决算数183,387.36元，与年初预算相比</w:t>
      </w:r>
      <w:r>
        <w:rPr>
          <w:rFonts w:eastAsia="仿宋_GB2312" w:hint="eastAsia"/>
          <w:sz w:val="30"/>
          <w:szCs w:val="30"/>
          <w:highlight w:val="none"/>
          <w:u w:val="none"/>
          <w:lang w:val="en-US" w:eastAsia="zh-CN"/>
        </w:rPr>
        <w:t xml:space="preserve">减少1,612.64元，</w:t>
      </w:r>
      <w:r>
        <w:rPr>
          <w:rFonts w:eastAsia="仿宋_GB2312" w:hint="eastAsia"/>
          <w:sz w:val="30"/>
          <w:szCs w:val="30"/>
          <w:highlight w:val="none"/>
          <w:u w:val="none"/>
          <w:lang w:val="en-US" w:eastAsia="zh-CN"/>
        </w:rPr>
        <w:t xml:space="preserve">完成年初预算的99.128%；</w:t>
      </w:r>
      <w:r>
        <w:rPr>
          <w:rFonts w:eastAsia="仿宋_GB2312" w:hint="eastAsia"/>
          <w:sz w:val="30"/>
          <w:szCs w:val="30"/>
          <w:highlight w:val="none"/>
          <w:u w:val="none"/>
          <w:lang w:val="en-US" w:eastAsia="zh-CN"/>
        </w:rPr>
        <w:t xml:space="preserve">比2023年增加2,754.24元</w:t>
      </w:r>
      <w:r>
        <w:rPr>
          <w:rFonts w:eastAsia="仿宋_GB2312" w:hint="eastAsia"/>
          <w:sz w:val="30"/>
          <w:szCs w:val="30"/>
          <w:highlight w:val="none"/>
          <w:u w:val="none"/>
          <w:lang w:val="en-US" w:eastAsia="zh-CN"/>
        </w:rPr>
        <w:t xml:space="preserve">，增长1.525%</w:t>
      </w:r>
      <w:r>
        <w:rPr>
          <w:rFonts w:eastAsia="仿宋_GB2312" w:hint="eastAsia"/>
          <w:sz w:val="30"/>
          <w:szCs w:val="30"/>
          <w:highlight w:val="none"/>
          <w:u w:val="none"/>
          <w:lang w:val="en-US" w:eastAsia="zh-CN"/>
        </w:rPr>
        <w:t xml:space="preserve">，主要原因是：一是残保金增长；二是2023年度未进行办公耗材采购，2024年进行了办公耗材采购。</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464993319"/>
      <w:bookmarkStart w:id="93" w:name="_Toc376739118"/>
      <w:bookmarkStart w:id="94" w:name="_Toc169354537"/>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天津市欧美同学会2024年度无政府采购支出。</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242699578"/>
      <w:bookmarkStart w:id="97" w:name="_Toc925871084"/>
      <w:bookmarkStart w:id="98" w:name="_Toc1072564870"/>
      <w:bookmarkStart w:id="99" w:name="_Toc125708453"/>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天津市欧美同学会2024年度无国有资产占有使用情况。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1773340371"/>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根据预算绩效管理要求,天津市欧美同学会已对1个2024年度市级项目开展绩效自评,涉及金额200,000.00元,自评结果已随部门决算一并公开。</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843655880"/>
      <w:bookmarkStart w:id="105" w:name="_Toc1374094560"/>
      <w:bookmarkStart w:id="106" w:name="_Toc1753562331"/>
      <w:bookmarkStart w:id="107"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天津市欧美同学会不属于乡、镇、街级单位,不涉及公开2024年度教育、医疗卫生、社会保障和就业、住房保障、涉农补贴等民生支出情况。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56525689"/>
      <w:bookmarkStart w:id="109" w:name="_Toc368130082"/>
      <w:bookmarkStart w:id="110" w:name="_Toc1582447786"/>
      <w:bookmarkStart w:id="111" w:name="_Toc282832597"/>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96f2980-23d8-403f-a1d5-fc1c8d10704c}">
  <ds:schemaRefs/>
</ds:datastoreItem>
</file>

<file path=customXml/itemProps17.xml><?xml version="1.0" encoding="utf-8"?>
<ds:datastoreItem xmlns:ds="http://schemas.openxmlformats.org/officeDocument/2006/customXml" ds:itemID="{30725f48-01cb-48aa-a7bb-504ed9a54385}">
  <ds:schemaRefs/>
</ds:datastoreItem>
</file>

<file path=customXml/itemProps18.xml><?xml version="1.0" encoding="utf-8"?>
<ds:datastoreItem xmlns:ds="http://schemas.openxmlformats.org/officeDocument/2006/customXml" ds:itemID="{a7a12f52-7f7e-49e8-9ded-3d2e6e172a8b}">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1709ea4b-bc17-47d8-8a6c-f6be750a562f}">
  <ds:schemaRefs/>
</ds:datastoreItem>
</file>

<file path=customXml/itemProps21.xml><?xml version="1.0" encoding="utf-8"?>
<ds:datastoreItem xmlns:ds="http://schemas.openxmlformats.org/officeDocument/2006/customXml" ds:itemID="{a460a401-5645-4b19-9032-4f3214354ad2}">
  <ds:schemaRefs/>
</ds:datastoreItem>
</file>

<file path=customXml/itemProps3.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9c29699-4f72-40f4-b55a-008b4ca23939}">
  <ds:schemaRefs/>
</ds:datastoreItem>
</file>

<file path=customXml/itemProps6.xml><?xml version="1.0" encoding="utf-8"?>
<ds:datastoreItem xmlns:ds="http://schemas.openxmlformats.org/officeDocument/2006/customXml" ds:itemID="{8b3b8d83-7812-4532-aad4-c9247d36013a}">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9b7e5bbc-85b6-4507-a266-8a5908359f3f}">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2025-07-05T03:27:00Z</cp:lastPrinted>
  <dcterms:created xsi:type="dcterms:W3CDTF">2019-08-07T18:37:00Z</dcterms:created>
  <dcterms:modified xsi:type="dcterms:W3CDTF">2025-08-15T11:25:18Z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