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天津中华职业教育社</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中华职业教育社（以下简称“天津职教社”或“本单位”）是中国共产党领导的、由市委统战部主管的具有统战性、教育性、民间性的群众团体，是党和政府联系和团结职业教育界和民办教育界的桥梁和纽带，是党和政府推进统一战线和职业教育工作的重要力量。</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本单位为财政三级预算单位，执行政府会计制度。本单位主要职责为：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根据有关规定，联系和团结从事、关心和支持职业教育事业的社会团体和人士；开展与海内外职业教育界的交流与合作，开辟社会参与和支持职业教育的渠道，促进职业教育事业发展</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单位本级社（内设1个职能处室）和0个所属预算单位，具体构成如下：</w:t>
      </w:r>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1.天津中华职业教育社</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天津中华职业教育社</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1898457.74</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1627543.07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178262.43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92652.24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42.59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1898500.33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1898457.74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42.59</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1898500.33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1898500.33</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1898500.33</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1898457.74</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42.59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1627585.66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1627543.07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1627585.66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1627543.07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1479328.07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1479285.48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42.59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2012999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其他群众团体事务支出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148257.59</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148257.59</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178262.43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178262.43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178262.43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178262.43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118594.56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118594.56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59667.87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59667.87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92652.24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92652.24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92652.24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92652.24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77827.92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77827.92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14824.32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14824.32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天津中华职业教育社</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1898500.33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1898500.33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1898457.74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42.59</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天津中华职业教育社</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1898500.33</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1898500.33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1898457.74</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42.59</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天津中华职业教育社</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340122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天津中华职业教育社</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1898457.74</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1750200.15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148257.59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1627543.07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群众团体事务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1627543.07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2012999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其他群众团体事务支出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118594.56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118594.56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59667.87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59667.87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77827.92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77827.92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14824.32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14824.32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1627543.07</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1627543.07</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178262.43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178262.43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92652.24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92652.24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1898457.74</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天津中华职业教育社</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1898457.74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1750200.15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1610734.06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139466.09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148257.59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1627543.07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1339819.39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139466.09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群众团体事务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1627543.07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1339819.39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139466.09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1479285.48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1339819.39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139466.09</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其他群众团体事务支出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148257.59</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178262.43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118594.56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118594.56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118594.56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59667.87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59667.87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59667.87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92652.24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77827.92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77827.92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77827.92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14824.32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1604928.86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133966.09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336776.00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6860.50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324944.00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230636.58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341.50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4707.67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118594.56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59297.28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5500.00</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77827.92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14824.32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1482.36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371820.00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68725.84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5805.20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5805.20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53040.00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48172.42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1610734.06</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139466.09</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天津中华职业教育社2025年度政府性基金预算财政拨款收入支出决算表为空表。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天津中华职业教育社2025年度国有资本经营预算财政拨款收入支出决算表为空表。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天津中华职业教育社2025年财政拨款“三公”经费支出决算表为空表。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天津中华职业教育社</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148257.59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148257.59</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群众团体事务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其他群众团体事务支出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2012999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市职教社2025年度系列主题活动及履职能力提升</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148257.59</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1,898,500.33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增加226,174.41元，增长13.52%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本年度工资调整和人员晋职晋级，相关人员经费及公用经费增加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一般公共预算财政拨款收入1,898,457.74元、其他收入42.59元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一般公共服务支出1,627,543.07元、社会保障和就业支出178,262.43元、卫生健康支出92,652.24元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1,898,500.33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增加226,174.41元，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本年度工资调整和人员晋职晋级，相关人员经费及公用经费收入增加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一般公共预算财政拨款收入1,898,457.74元，占99.99%；其他收入42.59元，占0.01%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1,898,457.74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增加226,233.29元，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本年度工资调整和人员晋职晋级，相关人员经费及公用经费支出增加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基本支出1,750,200.15元，占92.19%；项目支出148,257.59元，占7.81%</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1,898,457.74</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增加226,233.29元，增长13.53%，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本年度工资调整和人员晋职晋级，相关人员经费及公用经费增加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一般公共预算财政拨款1,898,457.74元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一般公共服务支出1,627,543.07元、社会保障和就业支出178,262.43元、卫生健康支出92,652.24元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天津中华职业教育社2025年度一般公共预算财政拨款支出合计1,898,457.74元，占本年支出合计的100.00%。与2024年度相比，一般公共预算财政拨款支出</w:t>
      </w:r>
      <w:r>
        <w:rPr>
          <w:rFonts w:eastAsia="仿宋_GB2312" w:hint="eastAsia"/>
          <w:sz w:val="30"/>
          <w:szCs w:val="30"/>
          <w:highlight w:val="none"/>
          <w:lang w:val="en-US" w:eastAsia="zh-CN"/>
        </w:rPr>
        <w:t xml:space="preserve">增加226,233.29元</w:t>
      </w:r>
      <w:r>
        <w:rPr>
          <w:rFonts w:eastAsia="仿宋_GB2312" w:hint="eastAsia"/>
          <w:sz w:val="30"/>
          <w:szCs w:val="30"/>
          <w:highlight w:val="none"/>
          <w:lang w:val="en-US" w:eastAsia="zh-CN"/>
        </w:rPr>
        <w:t xml:space="preserve">，增长13.53%</w:t>
      </w:r>
      <w:r>
        <w:rPr>
          <w:rFonts w:eastAsia="仿宋_GB2312" w:hint="eastAsia"/>
          <w:sz w:val="30"/>
          <w:szCs w:val="30"/>
          <w:highlight w:val="none"/>
          <w:lang w:val="en-US" w:eastAsia="zh-CN"/>
        </w:rPr>
        <w:t xml:space="preserve">，主要原因是本年度工资调整和人员晋职晋级，相关人员经费及公用经费收入增加。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2025年度一般公共预算财政拨款支出1,898,457.74元，主要用于以下方面：</w:t>
      </w:r>
      <w:r>
        <w:rPr>
          <w:rFonts w:eastAsia="仿宋_GB2312" w:hint="eastAsia"/>
          <w:sz w:val="30"/>
          <w:szCs w:val="30"/>
          <w:highlight w:val="none"/>
        </w:rPr>
        <w:t xml:space="preserve">一般公共服务支出（类）支出1,627,543.07元，占85.73%，社会保障和就业支出（类）支出178,262.43元，占9.39%，卫生健康支出（类）支出92,652.24元，占4.88%</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2025年度一般公共预算财政拨款支出年初预算为1,809,000.00元，支出决算为1,898,457.74元</w:t>
      </w:r>
      <w:r>
        <w:rPr>
          <w:rFonts w:eastAsia="仿宋_GB2312" w:hint="eastAsia"/>
          <w:sz w:val="30"/>
          <w:szCs w:val="30"/>
          <w:highlight w:val="none"/>
          <w:lang w:val="en-US" w:eastAsia="zh-CN"/>
        </w:rPr>
        <w:t xml:space="preserve">，完成年初预算的104.95%</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群众团体事务（款）行政运行（项）年初预算为1,387,000.00元，支出决算为1,479,285.48元，完成年初预算的106.65%，决算数大于年初预算数的主要原因是：本年度工资调整和人员晋职晋级，相关人员经费及公用经费支出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群众团体事务（款）其他群众团体事务支出（项）年初预算为150,000.00元，支出决算为148,257.59元，完成年初预算的98.84%，决算数小于年初预算数的主要原因是：本着厉行节约的原则压减开支。</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119,000.00元，支出决算为118,594.56元，完成年初预算的99.66%，决算数小于年初预算数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60,000.00元，支出决算为59,667.87元，完成年初预算的99.45%，决算数小于年初预算数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行政单位医疗（项）年初预算为78,000.00元，支出决算为77,827.92元，完成年初预算的99.78%，决算数小于年初预算数的主要原因是：严格按照本年度年初预算开展本单位工作。</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公务员医疗补助（项）年初预算为15,000.00元，支出决算为14,824.32元，完成年初预算的98.83%，决算数小于年初预算数的主要原因是：严格按照本年度年初预算开展本单位工作。</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天津中华职业教育社2025年度一般公共预算财政拨款基本支出合计1,750,200.15元，与2024年度相比</w:t>
      </w:r>
      <w:r>
        <w:rPr>
          <w:rFonts w:eastAsia="仿宋_GB2312" w:hint="eastAsia"/>
          <w:sz w:val="30"/>
          <w:szCs w:val="30"/>
          <w:highlight w:val="none"/>
          <w:lang w:val="en-US" w:eastAsia="zh-CN"/>
        </w:rPr>
        <w:t xml:space="preserve">增加227,187.91元，</w:t>
      </w:r>
      <w:r>
        <w:rPr>
          <w:rFonts w:eastAsia="仿宋_GB2312" w:hint="eastAsia"/>
          <w:sz w:val="30"/>
          <w:szCs w:val="30"/>
          <w:highlight w:val="none"/>
          <w:lang w:val="en-US" w:eastAsia="zh-CN"/>
        </w:rPr>
        <w:t xml:space="preserve">主要原因是本年度工资调整和人员晋职晋级，相关人员经费及公用经费支出增加。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人员经费1,610,734.06元，主要包括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基本工资、津贴补贴、奖金、机关事业单位基本养老保险缴费、职业年金缴费、职工基本医疗保险缴费、公务员医疗补助缴费、其他社会保障缴费、住房公积金、其他工资福利支出、退休费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公用经费139,466.09元，主要包括</w:t>
      </w:r>
      <w:r>
        <w:rPr>
          <w:rFonts w:eastAsia="仿宋_GB2312" w:hint="eastAsia"/>
          <w:sz w:val="30"/>
          <w:szCs w:val="30"/>
          <w:highlight w:val="none"/>
          <w:lang w:val="en-US" w:eastAsia="zh-CN"/>
        </w:rPr>
        <w:t xml:space="preserve">办公费、手续费、电费、邮电费、差旅费、维修(护)费、工会经费、福利费、其他交通费用、其他商品和服务支出、信息网络及软件购置更新</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支出决算较上年减少283.00元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决算数与预算数持平的主要原因是本年度未用财政拨款经费列支“三公”经费支出；</w:t>
      </w:r>
      <w:r>
        <w:rPr>
          <w:rFonts w:eastAsia="仿宋_GB2312" w:hint="eastAsia"/>
          <w:sz w:val="30"/>
          <w:szCs w:val="30"/>
          <w:highlight w:val="none"/>
          <w:lang w:val="en-US" w:eastAsia="zh-CN"/>
        </w:rPr>
        <w:t xml:space="preserve">决算数较上年减少的主要原因是本年度未用财政拨款经费列支“三公”经费支出。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支出决算较上年减少283.00元</w:t>
      </w:r>
      <w:r>
        <w:rPr>
          <w:rFonts w:eastAsia="仿宋_GB2312" w:hint="eastAsia"/>
          <w:sz w:val="30"/>
          <w:szCs w:val="30"/>
          <w:highlight w:val="none"/>
          <w:lang w:val="en-US" w:eastAsia="zh-CN"/>
        </w:rPr>
        <w:t xml:space="preserve">，下降100.00%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决算数较上年减少的主要原因是本年度未用财政拨款经费列支公务接待费。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机关运行经费是指行政单位和参照公务员法管理的事业单位使用财政拨款安排的基本支出中的日常公用经费支出，天津中华职业教育社2025年度机关运行经费年初预算146,000.00元，决算数139,466.09元，与年初预算相比</w:t>
      </w:r>
      <w:r>
        <w:rPr>
          <w:rFonts w:eastAsia="仿宋_GB2312" w:hint="eastAsia"/>
          <w:sz w:val="30"/>
          <w:szCs w:val="30"/>
          <w:highlight w:val="none"/>
          <w:lang w:val="en-US" w:eastAsia="zh-CN"/>
        </w:rPr>
        <w:t xml:space="preserve">减少6,533.91元，</w:t>
      </w:r>
      <w:r>
        <w:rPr>
          <w:rFonts w:eastAsia="仿宋_GB2312" w:hint="eastAsia"/>
          <w:sz w:val="30"/>
          <w:szCs w:val="30"/>
          <w:highlight w:val="none"/>
          <w:lang w:val="en-US" w:eastAsia="zh-CN"/>
        </w:rPr>
        <w:t xml:space="preserve">完成年初预算的95.52%；</w:t>
      </w:r>
      <w:r>
        <w:rPr>
          <w:rFonts w:eastAsia="仿宋_GB2312" w:hint="eastAsia"/>
          <w:sz w:val="30"/>
          <w:szCs w:val="30"/>
          <w:highlight w:val="none"/>
          <w:lang w:val="en-US" w:eastAsia="zh-CN"/>
        </w:rPr>
        <w:t xml:space="preserve">比2024年增加8,056.46元</w:t>
      </w:r>
      <w:r>
        <w:rPr>
          <w:rFonts w:eastAsia="仿宋_GB2312" w:hint="eastAsia"/>
          <w:sz w:val="30"/>
          <w:szCs w:val="30"/>
          <w:highlight w:val="none"/>
          <w:lang w:val="en-US" w:eastAsia="zh-CN"/>
        </w:rPr>
        <w:t xml:space="preserve">，增长6.13%</w:t>
      </w:r>
      <w:r>
        <w:rPr>
          <w:rFonts w:eastAsia="仿宋_GB2312" w:hint="eastAsia"/>
          <w:sz w:val="30"/>
          <w:szCs w:val="30"/>
          <w:highlight w:val="none"/>
          <w:lang w:val="en-US" w:eastAsia="zh-CN"/>
        </w:rPr>
        <w:t xml:space="preserve">。主要原因是：本年度工资调整和人员晋职晋级，相关公用经费支出增加。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政府采购支出总额1,483.50元，其中：政府采购货物支出1,483.50元、政府采购工程支出0.00元、政府采购服务支出0.00元。授予中小企业合同金额1,483.50元，占政府采购支出总额的100.00%，其中：授予小微企业合同金额1,483.50元，占政府采购支出总额的100.00%；货物采购授予中小企业合同金额占货物支出金额的100.00%，工程采购授予中小企业合同金额占工程支出金额的0.00%，服务采购授予中小企业合同金额占服务支出金额的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天津中华职业教育社2025年度无国有资产占有使用情况。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根据预算绩效管理要求,天津中华职业教育社已对1个2025年度市级项目开展绩效自评,涉及金额150,000.00元,自评结果已随部门决算一并公开。</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天津中华职业教育社不属于乡、镇、街级单位,不涉及公开2025年度教育、医疗卫生、社会保障和就业、住房保障、涉农补贴等民生支出情况。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E55BD746-120F-46BB-BC3C-FE7083162546}"/>
    <w:embedBold r:id="rId2" w:subsetted="1" w:fontKey="{CFDE3106-4B06-4D82-92CD-69D3BBBD0847}"/>
  </w:font>
  <w:font w:name="Cambria">
    <w:panose1 w:val="02040503050406030204"/>
    <w:charset w:val="00"/>
    <w:family w:val="roman"/>
    <w:pitch w:val="default"/>
    <w:sig w:usb0="E00006FF" w:usb1="420024FF" w:usb2="02000000" w:usb3="00000000" w:csb0="2000019F" w:csb1="00000000"/>
    <w:embedRegular r:id="rId3" w:fontKey="{8F9A26FF-FC5E-4973-8331-BE0E34107F94}"/>
  </w:font>
  <w:font w:name="Calibri">
    <w:panose1 w:val="020F0502020204030204"/>
    <w:charset w:val="00"/>
    <w:family w:val="swiss"/>
    <w:pitch w:val="default"/>
    <w:sig w:usb0="E4002EFF" w:usb1="C200247B" w:usb2="00000009" w:usb3="00000000" w:csb0="200001FF" w:csb1="00000000"/>
    <w:embedRegular r:id="rId4" w:fontKey="{9F4F2CD0-616D-47D8-BBA7-20558F5E9D32}"/>
  </w:font>
  <w:font w:name="黑体">
    <w:panose1 w:val="02010609060101010101"/>
    <w:charset w:val="FFFFFF86"/>
    <w:family w:val="auto"/>
    <w:pitch w:val="default"/>
    <w:sig w:usb0="800002BF" w:usb1="38CF7CFA" w:usb2="00000016" w:usb3="00000000" w:csb0="00040001" w:csb1="00000000"/>
    <w:embedRegular r:id="rId5" w:subsetted="1" w:fontKey="{86011F99-F8EF-4156-8E63-CDDBF1B45A2E}"/>
    <w:embedBold r:id="rId6" w:subsetted="1" w:fontKey="{BC4DAE73-4D17-4455-B30B-A7B54091F7BB}"/>
  </w:font>
  <w:font w:name="方正小标宋简体">
    <w:altName w:val="黑体"/>
    <w:panose1 w:val="02000000000000000000"/>
    <w:charset w:val="FFFFFF86"/>
    <w:family w:val="auto"/>
    <w:pitch w:val="default"/>
    <w:sig w:usb0="00000001" w:usb1="08000000" w:usb2="00000000" w:usb3="00000000" w:csb0="00040000" w:csb1="00000000"/>
    <w:embedRegular r:id="rId7" w:fontKey="{CCFF09E6-92FF-4C34-B283-A018A15AEEFF}"/>
    <w:embedBold r:id="rId8" w:fontKey="{8CC34551-27CD-43C1-8B5E-1FD73536BAA8}"/>
  </w:font>
  <w:font w:name="仿宋">
    <w:panose1 w:val="02010609060101010101"/>
    <w:charset w:val="FFFFFF86"/>
    <w:family w:val="auto"/>
    <w:pitch w:val="default"/>
    <w:sig w:usb0="800002BF" w:usb1="38CF7CFA" w:usb2="00000016" w:usb3="00000000" w:csb0="00040001" w:csb1="00000000"/>
    <w:embedRegular r:id="rId9" w:subsetted="1" w:fontKey="{F85E4B51-CEFB-4478-A760-F1C9A45127D3}"/>
  </w:font>
  <w:font w:name="方正仿宋_GB2312">
    <w:altName w:val="仿宋"/>
    <w:panose1 w:val="02000000000000000000"/>
    <w:charset w:val="FFFFFF86"/>
    <w:family w:val="auto"/>
    <w:pitch w:val="default"/>
    <w:sig w:usb0="A00002BF" w:usb1="184F6CFA" w:usb2="00000012" w:usb3="00000000" w:csb0="00040001" w:csb1="00000000"/>
    <w:embedRegular r:id="rId10" w:fontKey="{0E0E0166-6C65-417E-856D-C808079B9BDB}"/>
  </w:font>
  <w:font w:name="仿宋_GB2312">
    <w:altName w:val="仿宋"/>
    <w:panose1 w:val="02010609030101010101"/>
    <w:charset w:val="FFFFFF86"/>
    <w:family w:val="auto"/>
    <w:pitch w:val="default"/>
    <w:sig w:usb0="00000001" w:usb1="080E0000" w:usb2="00000000" w:usb3="00000000" w:csb0="00040000" w:csb1="00000000"/>
    <w:embedRegular r:id="rId11" w:fontKey="{CA8BE44B-4B98-468E-BECF-BA0B523C2FBC}"/>
  </w:font>
  <w:font w:name="方正楷体_GB2312">
    <w:altName w:val="宋体"/>
    <w:panose1 w:val="02000000000000000000"/>
    <w:charset w:val="FFFFFF86"/>
    <w:family w:val="auto"/>
    <w:pitch w:val="default"/>
    <w:sig w:usb0="A00002BF" w:usb1="184F6CFA" w:usb2="00000012" w:usb3="00000000" w:csb0="00040001" w:csb1="00000000"/>
    <w:embedRegular r:id="rId12" w:fontKey="{5A7CAA64-D229-4501-8675-92A39E01A5BD}"/>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238E3AD7-A236-4B16-AD70-70E0D062F010}"/>
    <w:embedBold r:id="rId14" w:subsetted="1" w:fontKey="{D0F785FA-FF45-4EEB-8E06-3D0735BF6CFB}"/>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27</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30</Pages>
  <Words>4039</Words>
  <Characters>24040</Characters>
  <Application>WPS Office_12.1.0.28043_F1E327BC-269C-435d-A152-05C5408002CA</Application>
  <DocSecurity>0</DocSecurity>
  <Lines>60</Lines>
  <Paragraphs>16</Paragraphs>
  <ScaleCrop>false</ScaleCrop>
  <Company>Microsoft</Company>
  <LinksUpToDate>false</LinksUpToDate>
  <CharactersWithSpaces>24638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2026-08-21T02:22:27Z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