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中共天津市委统一战线工作部（本级）</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（一）贯彻落实党对统一战线工作的理论方针政策和决策部署，拟订统一战线工作政策和规划，向同级党委请示报告统一战线工作并提出意见建议。 （二）统筹协调指导统一战线工作，组织协调开展日常监督检查。 （三）负责发现、联系和培养党外代表人士，在同级党委领导下做好党外代表人士的政治安排，协同有关部门做好安排党外代表人士担任政府和审判机关、检察机关等领导职务的工作。 （四）联系民主党派，牵头协调无党派人士工作，支持民主党派和无党派人士履行职责、发挥作用，支持、帮助民主党派和无党派人士加强自身建设。 （五）开展党外知识分子统一战线工作。 （六）统筹协调民族工作，领导民族工作部门依法管理民族事务。 （七）统一管理宗教工作，领导宗教工作部门依法管理宗教事务。 （八）参与制定、推动落实鼓励支持引导非公有制经济发展的方针政策，统筹开展非公有制经济人士统一战线工作。 （九）统筹开展新的社会阶层人士统一战线工作。 （十）会同有关部门开展港澳统一战线工作，开展对台统一战线工作。 （十一）统一领导海外统一战线工作，统一管理侨务工作，统筹协调有关部门和社会团体涉侨工作。 （十二）协调推进统一战线领域法治建设。 （十三）在统一战线工作中落实意识形态工作责任制，负责开展统一战线宣传工作。 （十四）指导下级党委统一战线工作，协助管理下一级党委统战部部长；协调政府有关部门统一战线工作，协助做好民族、宗教等工作部门领导班子成员推荐工作；加强同政协组织的沟通协调配合；加强对参事室、文史研究馆的工作指导；领导工商联党组，指导工商联工作；指导和管理社会主义学院；做好统一战线有关单位和团体管理工作。 （十五）完成同级党委和上级党委统战部交办的其他任务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中共天津市委统一战线工作部（本级）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单位本级（内设14个职能处室）和0个所属预算单位，具体构成如下：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1.中共天津市委统一战线工作部</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中共天津市委统一战线工作部（本级）</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66557398.47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61794784.33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3095676.03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1543690.51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640.00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78147.60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45100.00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66558038.47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66557398.47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640.00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66558038.47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66558038.47</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66558038.47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66557398.47</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640.00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61795424.33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61794784.33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640.00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统战事务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61795424.33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61794784.33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640.00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27620144.01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27619504.01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640.00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7004592.47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7004592.47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其他统战事务支出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27170687.85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27170687.85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3095676.03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3095676.03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3095676.03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3095676.03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2064650.99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2064650.99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1031025.04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1031025.04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1543690.51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1543690.51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1543690.51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1543690.51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1297151.25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1297151.25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246539.26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246539.26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78147.60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78147.60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78147.60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78147.60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2159904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技术改造支出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78147.60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78147.60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中共天津市委统一战线工作部（本级）</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66558038.47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66558038.47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66557398.47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640.00</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340121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中共天津市委统一战线工作部（本级）</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66558038.47</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66558038.47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66557398.47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640.00</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中共天津市委统一战线工作部（本级）</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340121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中共天津市委统一战线工作部（本级）</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66557398.47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32258870.55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34298527.92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61794784.33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34175280.32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统战事务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61794784.33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34175280.32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7004592.47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7004592.47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其他统战事务支出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27170687.85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27170687.85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2064650.99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2064650.99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1031025.04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1031025.04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1297151.25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1297151.25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246539.26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246539.26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2159904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技术改造支出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61794784.33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61794784.33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3095676.03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3095676.03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1543690.51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1543690.51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78147.60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78147.60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45100.00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66557398.47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中共天津市委统一战线工作部（本级）</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66557398.47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32258870.55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29790230.57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2468639.98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34298527.92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61794784.33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25150864.03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2468639.98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34175280.32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统战事务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61794784.33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25150864.03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2468639.98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34175280.32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27619504.01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25150864.03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2468639.98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7004592.47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7004592.47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其他统战事务支出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27170687.85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27170687.85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3095676.03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2064650.99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2064650.99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2064650.99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1031025.04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1031025.04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1031025.04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1543690.51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1297151.25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1297151.25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1297151.25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246539.26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246539.26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246539.26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21599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2159904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技术改造支出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78147.60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45100.00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29050645.87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2347472.58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5726210.60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126661.80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121167.40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5772676.00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5441090.23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3228.00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121167.40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2064650.99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18306.00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1031025.04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1297151.25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246539.26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159171.28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25785.48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6605571.00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11275.00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839946.02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739584.70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234886.40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504698.30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151400.00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38999.93</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927720.00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693960.57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29790230.57</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2468639.98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中共天津市委统一战线工作部（本级）2025年度政府性基金预算财政拨款收入支出决算表为空表。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中共天津市委统一战线工作部（本级）2025年度国有资本经营预算财政拨款收入支出决算表为空表。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368697.65</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325947.72</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38999.93</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38999.93</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3750.00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中共天津市委统一战线工作部（本级）</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34298527.92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34298527.92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34175280.32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34175280.32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统战事务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34175280.32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34175280.32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其他统战事务支出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27170687.85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27170687.85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因公出国（境）经费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211755.36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211755.36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因公出国（境）经费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57403.14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57403.14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统战部因公出国（境）经费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56789.22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56789.22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鑫银大厦集中办公保障项目经费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3123141.30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3123141.30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抚恤金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早期归侨退休生活津贴、城镇和农村困难归侨补助项目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410100.00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抚恤金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195136.00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195136.00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新阶层基地专项款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699963.83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699963.83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2013499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各民主党派市委会集中办公保障项目经费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19590000.00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78147.60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78147.60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21599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78147.60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78147.60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66,558,038.47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减少873,004.85元，下降1.29%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严格按照预算开展各项工作，厉行节约，公用经费和有关项目收、支有所下降</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一般公共预算财政拨款收入66,557,398.47元、其他收入640.00元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一般公共服务支出61,794,784.33元、社会保障和就业支出3,095,676.03元、卫生健康支出1,543,690.51元、资源勘探工业信息等支出78,147.60元、债务付息支出45,100.00元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中共天津市委统一战线工作部（本级）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66,558,038.47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减少824,943.57元，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严格按照预算开展各项工作，厉行节约，公用经费和有关项目收入有所下降</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一般公共预算财政拨款收入66,557,398.47元，占99.99%；其他收入640.00元，占0.01%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中共天津市委统一战线工作部（本级）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66,557,398.47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减少824,294.63元，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严格按照预算开展各项工作，厉行节约，公用经费和有关项目支出有所下降</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基本支出32,258,870.55元，占48.47%；项目支出34,298,527.92元，占51.53%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66,557,398.47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减少872,390.47元，下降1.29%，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严格按照预算开展各项工作，厉行节约，公用经费和有关项目收、支有所下降</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一般公共预算财政拨款66,557,398.47元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一般公共服务支出61,794,784.33元、社会保障和就业支出3,095,676.03元、卫生健康支出1,543,690.51元、资源勘探工业信息等支出78,147.60元、债务付息支出45,100.00元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中共天津市委统一战线工作部（本级）2025年度一般公共预算财政拨款支出合计66,557,398.47元，占本年支出合计的100.00%。与2024年度相比，一般公共预算财政拨款支出</w:t>
      </w:r>
      <w:r>
        <w:rPr>
          <w:rFonts w:eastAsia="仿宋_GB2312" w:hint="eastAsia"/>
          <w:sz w:val="30"/>
          <w:szCs w:val="30"/>
          <w:highlight w:val="none"/>
          <w:lang w:val="en-US" w:eastAsia="zh-CN"/>
        </w:rPr>
        <w:t xml:space="preserve">减少824,294.63元</w:t>
      </w:r>
      <w:r>
        <w:rPr>
          <w:rFonts w:eastAsia="仿宋_GB2312" w:hint="eastAsia"/>
          <w:sz w:val="30"/>
          <w:szCs w:val="30"/>
          <w:highlight w:val="none"/>
          <w:lang w:val="en-US" w:eastAsia="zh-CN"/>
        </w:rPr>
        <w:t xml:space="preserve">,下降1.22%</w:t>
      </w:r>
      <w:r>
        <w:rPr>
          <w:rFonts w:eastAsia="仿宋_GB2312" w:hint="eastAsia"/>
          <w:sz w:val="30"/>
          <w:szCs w:val="30"/>
          <w:highlight w:val="none"/>
          <w:lang w:val="en-US" w:eastAsia="zh-CN"/>
        </w:rPr>
        <w:t xml:space="preserve">，主要原因是严格按照预算开展各项工作，厉行节约，公用经费和有关项目支出有所下降。</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2025年度一般公共预算财政拨款支出66,557,398.47元，主要用于以下方面：</w:t>
      </w:r>
      <w:r>
        <w:rPr>
          <w:rFonts w:eastAsia="仿宋_GB2312" w:hint="eastAsia"/>
          <w:sz w:val="30"/>
          <w:szCs w:val="30"/>
          <w:highlight w:val="none"/>
        </w:rPr>
        <w:t xml:space="preserve">一般公共服务支出（类）支出61,794,784.33元，占92.84%，社会保障和就业支出（类）支出3,095,676.03元，占4.65%，卫生健康支出（类）支出1,543,690.51元，占2.32%，资源勘探工业信息等支出（类）支出78,147.60元，占0.12%，债务付息支出（类）支出45,100.00元，占0.07%</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2025年度一般公共预算财政拨款支出年初预算为64,333,600.00元，支出决算为66,557,398.47元</w:t>
      </w:r>
      <w:r>
        <w:rPr>
          <w:rFonts w:eastAsia="仿宋_GB2312" w:hint="eastAsia"/>
          <w:sz w:val="30"/>
          <w:szCs w:val="30"/>
          <w:highlight w:val="none"/>
          <w:lang w:val="en-US" w:eastAsia="zh-CN"/>
        </w:rPr>
        <w:t xml:space="preserve">，完成年初预算的103.46%</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统战事务（款）行政运行（项）年初预算为25,767,000.00元，支出决算为27,619,504.01元，完成年初预算的107.19%，决算数大于年初预算数的主要原因是：根据本年度工作开展实际需要，人员经费预算调整，支出相应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统战事务（款）一般行政管理事务（项）年初预算为7,061,500.00元，支出决算为7,004,592.47元，完成年初预算的99.19%，决算数小于年初预算数的主要原因是：严格按照预算开展各项工作，厉行节约，有关项目支出有所下降。</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一般公共服务支出（类）统战事务（款）其他统战事务支出（项）年初预算为26,540,000.00元，支出决算为27,170,687.85元，完成年初预算的102.38%，决算数大于年初预算数的主要原因是：根据本年度工作开展实际需要，有关项目预算调整，支出相应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基本养老保险缴费支出（项）年初预算为2,157,000.00元，支出决算为2,064,650.99元，完成年初预算的95.72%，决算数小于年初预算数的主要原因是：本单位人员调整，基本养老保险缴费支出相应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行政事业单位养老支出（款）机关事业单位职业年金缴费支出（项）年初预算为1,078,000.00元，支出决算为1,031,025.04元，完成年初预算的95.64%，决算数小于年初预算数的主要原因是：本单位人员调整，职业年金缴费支出相应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行政单位医疗（项）年初预算为1,415,000.00元，支出决算为1,297,151.25元，完成年初预算的91.67%，决算数小于年初预算数的主要原因是：本单位人员调整，医疗支出相应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公务员医疗补助（项）年初预算为270,000.00元，支出决算为246,539.26元，完成年初预算的91.31%，决算数小于年初预算数的主要原因是：本单位人员调整，公务员医疗补助支出相应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资源勘探工业信息等支出（类）其他资源勘探工业信息等支出（款）技术改造支出（项）年初预算为0.00元，支出决算为78,147.60元，决算数大于年初预算数的主要原因是：根据本年度工作开展实际需要，有关项目预算调整，支出相应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债务付息支出（类）地方政府一般债务付息支出（款）地方政府一般债券付息支出（项）年初预算为45,100.00元，支出决算为45,100.00元，完成年初预算的100.00%，决算数与年初预算数持平的主要原因是：严格按照预算开展各项业务工作。</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中共天津市委统一战线工作部（本级）2025年度一般公共预算财政拨款基本支出合计32,258,870.55元，与2024年度相比</w:t>
      </w:r>
      <w:r>
        <w:rPr>
          <w:rFonts w:eastAsia="仿宋_GB2312" w:hint="eastAsia"/>
          <w:sz w:val="30"/>
          <w:szCs w:val="30"/>
          <w:highlight w:val="none"/>
          <w:lang w:val="en-US" w:eastAsia="zh-CN"/>
        </w:rPr>
        <w:t xml:space="preserve">增加149,307.77元，</w:t>
      </w:r>
      <w:r>
        <w:rPr>
          <w:rFonts w:eastAsia="仿宋_GB2312" w:hint="eastAsia"/>
          <w:sz w:val="30"/>
          <w:szCs w:val="30"/>
          <w:highlight w:val="none"/>
          <w:lang w:val="en-US" w:eastAsia="zh-CN"/>
        </w:rPr>
        <w:t xml:space="preserve">主要原因是根据本年度工作开展实际需要，人员经费预算调整，支出相应增加。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人员经费29,790,230.57元，主要包括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基本工资、津贴补贴、奖金、机关事业单位基本养老保险缴费、职业年金缴费、职工基本医疗保险缴费、公务员医疗补助缴费、其他社会保障缴费、住房公积金、其他工资福利支出、离休费、退休费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公用经费2,468,639.98元，主要包括</w:t>
      </w:r>
      <w:r>
        <w:rPr>
          <w:rFonts w:eastAsia="仿宋_GB2312" w:hint="eastAsia"/>
          <w:sz w:val="30"/>
          <w:szCs w:val="30"/>
          <w:highlight w:val="none"/>
          <w:lang w:val="en-US" w:eastAsia="zh-CN"/>
        </w:rPr>
        <w:t xml:space="preserve">办公费、手续费、邮电费、差旅费、维修(护)费、公务接待费、工会经费、福利费、公务用车运行维护费、其他交通费用、其他商品和服务支出、办公设备购置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368,697.65</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368,697.65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支出决算较上年增加148,244.12元</w:t>
      </w:r>
      <w:r>
        <w:rPr>
          <w:rFonts w:eastAsia="仿宋_GB2312" w:hint="eastAsia"/>
          <w:sz w:val="30"/>
          <w:szCs w:val="30"/>
          <w:highlight w:val="none"/>
          <w:lang w:val="en-US" w:eastAsia="zh-CN"/>
        </w:rPr>
        <w:t xml:space="preserve">，增长67.25%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决算数与预算数持平的主要原因是严格按照预算开展各项业务工作；</w:t>
      </w:r>
      <w:r>
        <w:rPr>
          <w:rFonts w:eastAsia="仿宋_GB2312" w:hint="eastAsia"/>
          <w:sz w:val="30"/>
          <w:szCs w:val="30"/>
          <w:highlight w:val="none"/>
          <w:lang w:val="en-US" w:eastAsia="zh-CN"/>
        </w:rPr>
        <w:t xml:space="preserve">决算数较上年增加的主要原因是根据本年度工作开展实际需要，在预算范围内，“三公”经费支出相应增加。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325,947.72</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325,947.72</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支出决算较上年增加148,441.63元</w:t>
      </w:r>
      <w:r>
        <w:rPr>
          <w:rFonts w:eastAsia="仿宋_GB2312" w:hint="eastAsia"/>
          <w:sz w:val="30"/>
          <w:szCs w:val="30"/>
          <w:highlight w:val="none"/>
          <w:lang w:val="en-US" w:eastAsia="zh-CN"/>
        </w:rPr>
        <w:t xml:space="preserve">，增长83.63%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决算数与预算数持平的主要原因是严格按照预算开展各项业务工作；</w:t>
      </w:r>
      <w:r>
        <w:rPr>
          <w:rFonts w:eastAsia="仿宋_GB2312" w:hint="eastAsia"/>
          <w:sz w:val="30"/>
          <w:szCs w:val="30"/>
          <w:highlight w:val="none"/>
          <w:lang w:val="en-US" w:eastAsia="zh-CN"/>
        </w:rPr>
        <w:t xml:space="preserve">决算数较上年增加的主要原因是根据本年度工作开展实际需要，在预算范围内，因公出国（境）费支出相应增加。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9</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22</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38,999.93</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38,999.93</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支出决算较上年增加52.49元</w:t>
      </w:r>
      <w:r>
        <w:rPr>
          <w:rFonts w:eastAsia="仿宋_GB2312" w:hint="eastAsia"/>
          <w:sz w:val="30"/>
          <w:szCs w:val="30"/>
          <w:highlight w:val="none"/>
          <w:lang w:val="en-US" w:eastAsia="zh-CN"/>
        </w:rPr>
        <w:t xml:space="preserve">，增长0.13%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决算数与预算数持平的主要原因是严格按照预算开展各项业务工作；</w:t>
      </w:r>
      <w:r>
        <w:rPr>
          <w:rFonts w:eastAsia="仿宋_GB2312" w:hint="eastAsia"/>
          <w:sz w:val="30"/>
          <w:szCs w:val="30"/>
          <w:highlight w:val="none"/>
          <w:lang w:val="en-US" w:eastAsia="zh-CN"/>
        </w:rPr>
        <w:t xml:space="preserve">决算数较上年增加的主要原因是根据本年度工作开展实际需要，在预算范围内，公务用车购置及运行维护费支出相应增加。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38,999.93</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38,999.93</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支出决算较上年增加52.49元</w:t>
      </w:r>
      <w:r>
        <w:rPr>
          <w:rFonts w:eastAsia="仿宋_GB2312" w:hint="eastAsia"/>
          <w:sz w:val="30"/>
          <w:szCs w:val="30"/>
          <w:highlight w:val="none"/>
          <w:lang w:val="en-US" w:eastAsia="zh-CN"/>
        </w:rPr>
        <w:t xml:space="preserve">，增长0.13%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决算数与预算数持平的主要原因是严格按照预算开展各项业务工作；</w:t>
      </w:r>
      <w:r>
        <w:rPr>
          <w:rFonts w:eastAsia="仿宋_GB2312" w:hint="eastAsia"/>
          <w:sz w:val="30"/>
          <w:szCs w:val="30"/>
          <w:highlight w:val="none"/>
          <w:lang w:val="en-US" w:eastAsia="zh-CN"/>
        </w:rPr>
        <w:t xml:space="preserve">决算数较上年增加的主要原因是根据本年度工作开展实际需要，在预算范围内，公务用车运行维护费支出相应增加。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3辆为机关事务管理局所有。</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3,750.00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3,750.00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支出决算较上年减少250.00元</w:t>
      </w:r>
      <w:r>
        <w:rPr>
          <w:rFonts w:eastAsia="仿宋_GB2312" w:hint="eastAsia"/>
          <w:sz w:val="30"/>
          <w:szCs w:val="30"/>
          <w:highlight w:val="none"/>
          <w:lang w:val="en-US" w:eastAsia="zh-CN"/>
        </w:rPr>
        <w:t xml:space="preserve">，下降6.25%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决算数与预算数持平的主要原因是严格按照预算开展各项业务工作；</w:t>
      </w:r>
      <w:r>
        <w:rPr>
          <w:rFonts w:eastAsia="仿宋_GB2312" w:hint="eastAsia"/>
          <w:sz w:val="30"/>
          <w:szCs w:val="30"/>
          <w:highlight w:val="none"/>
          <w:lang w:val="en-US" w:eastAsia="zh-CN"/>
        </w:rPr>
        <w:t xml:space="preserve">决算数较上年减少的主要原因是严格按照预算开展各项工作，厉行节约，公务接待费支出有所下降。</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6</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34</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中共天津市委统一战线工作部（本级）2025年度机关运行经费年初预算2,580,000.00元，决算数2,468,639.98元，与年初预算相比</w:t>
      </w:r>
      <w:r>
        <w:rPr>
          <w:rFonts w:eastAsia="仿宋_GB2312" w:hint="eastAsia"/>
          <w:sz w:val="30"/>
          <w:szCs w:val="30"/>
          <w:highlight w:val="none"/>
          <w:lang w:val="en-US" w:eastAsia="zh-CN"/>
        </w:rPr>
        <w:t xml:space="preserve">减少111,360.02元，</w:t>
      </w:r>
      <w:r>
        <w:rPr>
          <w:rFonts w:eastAsia="仿宋_GB2312" w:hint="eastAsia"/>
          <w:sz w:val="30"/>
          <w:szCs w:val="30"/>
          <w:highlight w:val="none"/>
          <w:lang w:val="en-US" w:eastAsia="zh-CN"/>
        </w:rPr>
        <w:t xml:space="preserve">完成年初预算的95.68%；</w:t>
      </w:r>
      <w:r>
        <w:rPr>
          <w:rFonts w:eastAsia="仿宋_GB2312" w:hint="eastAsia"/>
          <w:sz w:val="30"/>
          <w:szCs w:val="30"/>
          <w:highlight w:val="none"/>
          <w:lang w:val="en-US" w:eastAsia="zh-CN"/>
        </w:rPr>
        <w:t xml:space="preserve">比2024年减少14,400.01元</w:t>
      </w:r>
      <w:r>
        <w:rPr>
          <w:rFonts w:eastAsia="仿宋_GB2312" w:hint="eastAsia"/>
          <w:sz w:val="30"/>
          <w:szCs w:val="30"/>
          <w:highlight w:val="none"/>
          <w:lang w:val="en-US" w:eastAsia="zh-CN"/>
        </w:rPr>
        <w:t xml:space="preserve">，下降0.58%</w:t>
      </w:r>
      <w:r>
        <w:rPr>
          <w:rFonts w:eastAsia="仿宋_GB2312" w:hint="eastAsia"/>
          <w:sz w:val="30"/>
          <w:szCs w:val="30"/>
          <w:highlight w:val="none"/>
          <w:lang w:val="en-US" w:eastAsia="zh-CN"/>
        </w:rPr>
        <w:t xml:space="preserve">。主要原因是：严格按照预算开展各项工作，厉行节约，机关运行经费支出有所下降。</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市委统一战线工作部（本级）2025年政府采购支出总额63,879,424.00元，其中：政府采购货物支出227,424.00元、政府采购工程支出0.00元、政府采购服务支出63,652,000.00元。授予中小企业合同金额63,879,424.00元，占政府采购支出总额的100.00%，其中：授予小微企业合同金额62,502,624.00元，占政府采购支出总额的97.84%；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截至2025年12月31日，中共天津市委统一战线工作部（本级）共有车辆0辆</w:t>
      </w:r>
      <w:r>
        <w:rPr>
          <w:rFonts w:eastAsia="仿宋_GB2312" w:hint="eastAsia"/>
          <w:sz w:val="30"/>
          <w:szCs w:val="30"/>
          <w:highlight w:val="none"/>
          <w:lang w:val="en-US" w:eastAsia="zh-CN"/>
        </w:rPr>
        <w:t xml:space="preserve">。单价100万元以上的设备2台（套）。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根据预算绩效管理要求，中共天津市委统一战线工作部（本级）已对9个2025年度市级项目开展绩效自评，涉及金额24695453.3元，自评结果已随部门决算一并公开。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中共天津市委统一战线工作部（本级）不属于乡、镇、街级单位，不涉及公开2025年度教育、医疗卫生、社会保障和就业、住房保障、涉农补贴等民生支出情况。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3E18BE8E-0C42-42E9-B7F0-02C50F1FC48B}"/>
    <w:embedBold r:id="rId2" w:subsetted="1" w:fontKey="{6B7D8D6A-D6D9-401A-875A-D978513F56FB}"/>
  </w:font>
  <w:font w:name="Cambria">
    <w:panose1 w:val="02040503050406030204"/>
    <w:charset w:val="00"/>
    <w:family w:val="roman"/>
    <w:pitch w:val="default"/>
    <w:sig w:usb0="E00006FF" w:usb1="420024FF" w:usb2="02000000" w:usb3="00000000" w:csb0="2000019F" w:csb1="00000000"/>
    <w:embedRegular r:id="rId3" w:fontKey="{AA8009CA-8182-4A22-8705-B4D625187CF7}"/>
  </w:font>
  <w:font w:name="Calibri">
    <w:panose1 w:val="020F0502020204030204"/>
    <w:charset w:val="00"/>
    <w:family w:val="swiss"/>
    <w:pitch w:val="default"/>
    <w:sig w:usb0="E4002EFF" w:usb1="C200247B" w:usb2="00000009" w:usb3="00000000" w:csb0="200001FF" w:csb1="00000000"/>
    <w:embedRegular r:id="rId4" w:fontKey="{F11EFA1E-667F-4AFB-8E9C-35A39A48EA02}"/>
  </w:font>
  <w:font w:name="黑体">
    <w:panose1 w:val="02010609060101010101"/>
    <w:charset w:val="FFFFFF86"/>
    <w:family w:val="auto"/>
    <w:pitch w:val="default"/>
    <w:sig w:usb0="800002BF" w:usb1="38CF7CFA" w:usb2="00000016" w:usb3="00000000" w:csb0="00040001" w:csb1="00000000"/>
    <w:embedRegular r:id="rId5" w:subsetted="1" w:fontKey="{F118E23C-8E08-47B0-975A-382704A4AAC6}"/>
    <w:embedBold r:id="rId6" w:subsetted="1" w:fontKey="{E86AA29F-09FC-470F-9264-1BD70B49AABA}"/>
  </w:font>
  <w:font w:name="方正小标宋简体">
    <w:altName w:val="黑体"/>
    <w:panose1 w:val="02000000000000000000"/>
    <w:charset w:val="FFFFFF86"/>
    <w:family w:val="auto"/>
    <w:pitch w:val="default"/>
    <w:sig w:usb0="00000001" w:usb1="08000000" w:usb2="00000000" w:usb3="00000000" w:csb0="00040000" w:csb1="00000000"/>
    <w:embedRegular r:id="rId7" w:fontKey="{EA90537F-EA27-4DE1-9221-5CFD0DE94EB3}"/>
    <w:embedBold r:id="rId8" w:fontKey="{F794A8B6-78BA-428B-A6D6-311FBE5A075F}"/>
  </w:font>
  <w:font w:name="仿宋">
    <w:panose1 w:val="02010609060101010101"/>
    <w:charset w:val="FFFFFF86"/>
    <w:family w:val="auto"/>
    <w:pitch w:val="default"/>
    <w:sig w:usb0="800002BF" w:usb1="38CF7CFA" w:usb2="00000016" w:usb3="00000000" w:csb0="00040001" w:csb1="00000000"/>
    <w:embedRegular r:id="rId9" w:subsetted="1" w:fontKey="{BBDFEB8F-2059-4118-B95E-6CDAACB772E8}"/>
  </w:font>
  <w:font w:name="方正仿宋_GB2312">
    <w:altName w:val="仿宋"/>
    <w:panose1 w:val="02000000000000000000"/>
    <w:charset w:val="FFFFFF86"/>
    <w:family w:val="auto"/>
    <w:pitch w:val="default"/>
    <w:sig w:usb0="A00002BF" w:usb1="184F6CFA" w:usb2="00000012" w:usb3="00000000" w:csb0="00040001" w:csb1="00000000"/>
    <w:embedRegular r:id="rId10" w:fontKey="{23D9DD60-19BE-4212-B005-2249EDF9D1CB}"/>
  </w:font>
  <w:font w:name="仿宋_GB2312">
    <w:altName w:val="仿宋"/>
    <w:panose1 w:val="02010609030101010101"/>
    <w:charset w:val="FFFFFF86"/>
    <w:family w:val="auto"/>
    <w:pitch w:val="default"/>
    <w:sig w:usb0="00000001" w:usb1="080E0000" w:usb2="00000000" w:usb3="00000000" w:csb0="00040000" w:csb1="00000000"/>
    <w:embedRegular r:id="rId11" w:fontKey="{28F4AB28-6FD4-4B10-9D14-B99C05BA1EEC}"/>
  </w:font>
  <w:font w:name="方正楷体_GB2312">
    <w:altName w:val="宋体"/>
    <w:panose1 w:val="02000000000000000000"/>
    <w:charset w:val="FFFFFF86"/>
    <w:family w:val="auto"/>
    <w:pitch w:val="default"/>
    <w:sig w:usb0="A00002BF" w:usb1="184F6CFA" w:usb2="00000012" w:usb3="00000000" w:csb0="00040001" w:csb1="00000000"/>
    <w:embedRegular r:id="rId12" w:fontKey="{0C8A90D7-75B6-43F6-B9B2-249697246A84}"/>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BCEC4ADA-42F7-4AA0-AAA8-394AF257B98E}"/>
    <w:embedBold r:id="rId14" w:subsetted="1" w:fontKey="{F7C0B363-2CCD-4A29-8773-A8600FD8E918}"/>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22</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32</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35</Pages>
  <Words>4039</Words>
  <Characters>24040</Characters>
  <Application>WPS Office_12.1.0.28043_F1E327BC-269C-435d-A152-05C5408002CA</Application>
  <DocSecurity>0</DocSecurity>
  <Lines>60</Lines>
  <Paragraphs>16</Paragraphs>
  <ScaleCrop>false</ScaleCrop>
  <Company>Microsoft</Company>
  <LinksUpToDate>false</LinksUpToDate>
  <CharactersWithSpaces>24638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2026-08-21T02:22:27Z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