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中共天津市委统一战线工作部宣传中心</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中共天津市委统一战线工作部宣传中心</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中共天津市委统一战线工作部宣传中心承担全市统一战线信息的收集、整理、报送工作；承担“天津统一战线”网站、“津门统战”微信公众号信息内容的管理工作，协助策划有关专题，及时发布相关信息；承担统一战线刊物《天津统战》和《海河同舟》的编刊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中共天津市委统一战线工作部宣传中心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单位本级（内设1个职能处室）和0个所属预算单位，具体构成如下：</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1.中共天津市委统一战线工作部宣传中心</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中共天津市委统一战线工作部宣传中心</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1115878.48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963393.48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102000.00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50485.00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32.97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1115911.45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1115878.48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32.97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1115911.45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1115911.45</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中共天津市委统一战线工作部宣传中心</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1115911.45</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1115878.48</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32.97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963426.45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963393.48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32.97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20134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统战事务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963426.45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963393.48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32.97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2013450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963426.45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963393.48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32.97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50485.00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50485.00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50485.00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50485.00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5485.00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5485.00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中共天津市委统一战线工作部宣传中心</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1115911.45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1115911.45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1115878.48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32.97</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340213</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中共天津市委统一战线工作部宣传中心</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1115911.45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1115911.45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1115878.48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32.97</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中共天津市委统一战线工作部宣传中心</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340213</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中共天津市委统一战线工作部宣传中心</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中共天津市委统一战线工作部宣传中心</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1115878.48</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1115878.48</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963393.48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963393.48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20134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统战事务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963393.48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963393.48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2013450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963393.48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963393.48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68000.00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50485.00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50485.00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50485.00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50485.00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5485.00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5485.00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中共天津市委统一战线工作部宣传中心</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1115878.48</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963393.48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963393.48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102000.00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102000.00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50485.00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50485.00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1115878.48</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1115878.48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1115878.48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1115878.48</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1115878.48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1115878.48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中共天津市委统一战线工作部宣传中心</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1115878.48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1115878.48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988766.00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127112.48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963393.48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963393.48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836281.00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127112.48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统战事务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963393.48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963393.48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836281.00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127112.48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963393.48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963393.48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836281.00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127112.48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50485.00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50485.00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50485.00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50485.00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50485.00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50485.00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5485.00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5485.00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5485.00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中共天津市委统一战线工作部宣传中心</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988766.00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127112.48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220626.00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106064.00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380.00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250776.00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68851.20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34425.60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45183.72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4767.92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3012.48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239346.00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20481.00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6500.00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398.86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49265.70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988766.00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127112.48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中共天津市委统一战线工作部宣传中心</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中共天津市委统一战线工作部宣传中心2025年度政府性基金预算财政拨款收入支出决算表为空表。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中共天津市委统一战线工作部宣传中心</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中共天津市委统一战线工作部宣传中心2025年度国有资本经营预算财政拨款收入支出决算表为空表。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中共天津市委统一战线工作部宣传中心</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中共天津市委统一战线工作部宣传中心2025年财政拨款“三公”经费支出决算表为空表。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中共天津市委统一战线工作部宣传中心</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中共天津市委统一战线工作部宣传中心2025年项目支出决算表为空表。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中共天津市委统一战线工作部宣传中心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1,115,911.45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增加335,011.66元，增长42.90%</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2024年度第四季度增加2人，本年度较上年度有所增加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一般公共预算财政拨款收入1,115,878.48元、其他收入32.97元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一般公共服务支出963,393.48元、社会保障和就业支出102,000.00元、卫生健康支出50,485.00元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中共天津市委统一战线工作部宣传中心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1,115,911.45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增加335,011.66元，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2024年度第四季度增加2人，本年度较上年度有所增加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一般公共预算财政拨款收入1,115,878.48元，占99.99%；其他收入32.97元，占0.01%</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中共天津市委统一战线工作部宣传中心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1,115,878.48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增加335,036.60元，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2024年度第四季度增加2人，本年度较上年度有所增加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基本支出1,115,878.48元，占100.00%</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中共天津市委统一战线工作部宣传中心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1,115,878.48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增加335,036.60元，增长42.91%，</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2024年度第四季度增加2人，本年度较上年度有所增加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一般公共预算财政拨款1,115,878.48元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一般公共服务支出963,393.48元、社会保障和就业支出102,000.00元、卫生健康支出50,485.00元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中共天津市委统一战线工作部宣传中心2025年度一般公共预算财政拨款支出合计1,115,878.48元，占本年支出合计的100.00%。与2024年度相比，一般公共预算财政拨款支出</w:t>
      </w:r>
      <w:r>
        <w:rPr>
          <w:rFonts w:eastAsia="仿宋_GB2312" w:hint="eastAsia"/>
          <w:sz w:val="30"/>
          <w:szCs w:val="30"/>
          <w:highlight w:val="none"/>
          <w:lang w:val="en-US" w:eastAsia="zh-CN"/>
        </w:rPr>
        <w:t xml:space="preserve">增加335,036.60元</w:t>
      </w:r>
      <w:r>
        <w:rPr>
          <w:rFonts w:eastAsia="仿宋_GB2312" w:hint="eastAsia"/>
          <w:sz w:val="30"/>
          <w:szCs w:val="30"/>
          <w:highlight w:val="none"/>
          <w:lang w:val="en-US" w:eastAsia="zh-CN"/>
        </w:rPr>
        <w:t xml:space="preserve">，增长42.91%</w:t>
      </w:r>
      <w:r>
        <w:rPr>
          <w:rFonts w:eastAsia="仿宋_GB2312" w:hint="eastAsia"/>
          <w:sz w:val="30"/>
          <w:szCs w:val="30"/>
          <w:highlight w:val="none"/>
          <w:lang w:val="en-US" w:eastAsia="zh-CN"/>
        </w:rPr>
        <w:t xml:space="preserve">，主要原因是2024年度第四季度增加2人，本年度较上年度有所增加。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2025年度一般公共预算财政拨款支出1,115,878.48元，主要用于以下方面：</w:t>
      </w:r>
      <w:r>
        <w:rPr>
          <w:rFonts w:eastAsia="仿宋_GB2312" w:hint="eastAsia"/>
          <w:sz w:val="30"/>
          <w:szCs w:val="30"/>
          <w:highlight w:val="none"/>
        </w:rPr>
        <w:t xml:space="preserve">一般公共服务支出（类）支出963,393.48元，占86.34%，社会保障和就业支出（类）支出102,000.00元，占9.14%，卫生健康支出（类）支出50,485.00元，占4.52%</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2025年度一般公共预算财政拨款支出年初预算为1,084,000.00元，支出决算为1,115,878.48元</w:t>
      </w:r>
      <w:r>
        <w:rPr>
          <w:rFonts w:eastAsia="仿宋_GB2312" w:hint="eastAsia"/>
          <w:sz w:val="30"/>
          <w:szCs w:val="30"/>
          <w:highlight w:val="none"/>
          <w:lang w:val="en-US" w:eastAsia="zh-CN"/>
        </w:rPr>
        <w:t xml:space="preserve">，完成年初预算的102.94%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统战事务（款）事业运行（项）年初预算为931,000.00元，支出决算为963,393.48元，完成年初预算的103.48%，决算数大于年初预算数的主要原因是：本年度工资调整和人员晋职晋级，相关人员经费支出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基本养老保险缴费支出（项）年初预算为68,000.00元，支出决算为68,000.00元，完成年初预算的100.00%，决算数与年初预算数持平的主要原因是：严格按照本年度年初预算开展本单位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行政事业单位养老支出（款）机关事业单位职业年金缴费支出（项）年初预算为34,000.00元，支出决算为34,000.00元，完成年初预算的100.00%，决算数与年初预算数持平的主要原因是：严格按照本年度年初预算开展本单位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事业单位医疗（项）年初预算为45,000.00元，支出决算为45,000.00元，完成年初预算的100.00%，决算数与年初预算数持平的主要原因是：严格按照本年度年初预算开展本单位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行政事业单位医疗（款）其他行政事业单位医疗支出（项）年初预算为6,000.00元，支出决算为5,485.00元，完成年初预算的91.42%，决算数小于年初预算数的主要原因是：严格按照本年度年初预算开展本单位工作。</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中共天津市委统一战线工作部宣传中心2025年度一般公共预算财政拨款基本支出合计1,115,878.48元，与2024年度相比</w:t>
      </w:r>
      <w:r>
        <w:rPr>
          <w:rFonts w:eastAsia="仿宋_GB2312" w:hint="eastAsia"/>
          <w:sz w:val="30"/>
          <w:szCs w:val="30"/>
          <w:highlight w:val="none"/>
          <w:lang w:val="en-US" w:eastAsia="zh-CN"/>
        </w:rPr>
        <w:t xml:space="preserve">增加335,036.60元，</w:t>
      </w:r>
      <w:r>
        <w:rPr>
          <w:rFonts w:eastAsia="仿宋_GB2312" w:hint="eastAsia"/>
          <w:sz w:val="30"/>
          <w:szCs w:val="30"/>
          <w:highlight w:val="none"/>
          <w:lang w:val="en-US" w:eastAsia="zh-CN"/>
        </w:rPr>
        <w:t xml:space="preserve">主要原因是2024年度第四季度增加2人，本年度较上年度有所增加。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人员经费988,766.00元，主要包括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基本工资、津贴补贴、绩效工资、机关事业单位基本养老保险缴费、职业年金缴费、职工基本医疗保险缴费、其他社会保障缴费、住房公积金、其他工资福利支出</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公用经费127,112.48元，主要包括</w:t>
      </w:r>
      <w:r>
        <w:rPr>
          <w:rFonts w:eastAsia="仿宋_GB2312" w:hint="eastAsia"/>
          <w:sz w:val="30"/>
          <w:szCs w:val="30"/>
          <w:highlight w:val="none"/>
          <w:lang w:val="en-US" w:eastAsia="zh-CN"/>
        </w:rPr>
        <w:t xml:space="preserve">办公费、手续费、邮电费、差旅费、委托业务费、工会经费、福利费、其他交通费用、其他商品和服务支出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中共天津市委统一战线工作部宣传中心2025年度无政府性基金预算财政拨款收入、支出和结转结余。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中共天津市委统一战线工作部宣传中心2025年度无国有资本经营预算财政拨款收入、支出和结转结余。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中共天津市委统一战线工作部宣传中心2025年度无机关运行经费。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中共天津市委统一战线工作部宣传中心2025年度无政府采购支出。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中共天津市委统一战线工作部宣传中心2025年度无国有资产占有使用情况。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中共天津市委统一战线工作部宣传中心2025年度没有项目支出,无需开展绩效自评。</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中共天津市委统一战线工作部宣传中心不属于乡、镇、街级单位,不涉及公开2025年度教育、医疗卫生、社会保障和就业、住房保障、涉农补贴等民生支出情况。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84243BB0-02F7-47CD-8D89-B633FB804A26}"/>
    <w:embedBold r:id="rId2" w:subsetted="1" w:fontKey="{D875B87E-DA5D-45A2-80F0-5FA66C0C4BDC}"/>
  </w:font>
  <w:font w:name="Cambria">
    <w:panose1 w:val="02040503050406030204"/>
    <w:charset w:val="00"/>
    <w:family w:val="roman"/>
    <w:pitch w:val="default"/>
    <w:sig w:usb0="E00006FF" w:usb1="420024FF" w:usb2="02000000" w:usb3="00000000" w:csb0="2000019F" w:csb1="00000000"/>
    <w:embedRegular r:id="rId3" w:fontKey="{02E3E9BB-53B3-4681-8C11-3B183C95F4F1}"/>
  </w:font>
  <w:font w:name="Calibri">
    <w:panose1 w:val="020F0502020204030204"/>
    <w:charset w:val="00"/>
    <w:family w:val="swiss"/>
    <w:pitch w:val="default"/>
    <w:sig w:usb0="E4002EFF" w:usb1="C200247B" w:usb2="00000009" w:usb3="00000000" w:csb0="200001FF" w:csb1="00000000"/>
    <w:embedRegular r:id="rId4" w:fontKey="{3040D1A0-4478-4436-9F23-F9037A2B0459}"/>
  </w:font>
  <w:font w:name="黑体">
    <w:panose1 w:val="02010609060101010101"/>
    <w:charset w:val="FFFFFF86"/>
    <w:family w:val="auto"/>
    <w:pitch w:val="default"/>
    <w:sig w:usb0="800002BF" w:usb1="38CF7CFA" w:usb2="00000016" w:usb3="00000000" w:csb0="00040001" w:csb1="00000000"/>
    <w:embedRegular r:id="rId5" w:subsetted="1" w:fontKey="{BB2A18C5-9D1D-4BF5-A4CF-4A25C7847221}"/>
    <w:embedBold r:id="rId6" w:subsetted="1" w:fontKey="{5132406A-71E7-4BAA-92B1-E44E26D0D425}"/>
  </w:font>
  <w:font w:name="方正小标宋简体">
    <w:altName w:val="黑体"/>
    <w:panose1 w:val="02000000000000000000"/>
    <w:charset w:val="FFFFFF86"/>
    <w:family w:val="auto"/>
    <w:pitch w:val="default"/>
    <w:sig w:usb0="00000001" w:usb1="08000000" w:usb2="00000000" w:usb3="00000000" w:csb0="00040000" w:csb1="00000000"/>
    <w:embedRegular r:id="rId7" w:fontKey="{DA5DC774-E316-4FF8-9ACB-E2D04D2632CC}"/>
    <w:embedBold r:id="rId8" w:fontKey="{ECAE6E44-5710-41B4-ABCE-00649133E650}"/>
  </w:font>
  <w:font w:name="仿宋">
    <w:panose1 w:val="02010609060101010101"/>
    <w:charset w:val="FFFFFF86"/>
    <w:family w:val="auto"/>
    <w:pitch w:val="default"/>
    <w:sig w:usb0="800002BF" w:usb1="38CF7CFA" w:usb2="00000016" w:usb3="00000000" w:csb0="00040001" w:csb1="00000000"/>
    <w:embedRegular r:id="rId9" w:subsetted="1" w:fontKey="{070F5300-A38D-45DB-94A0-3D302DF8E7F0}"/>
  </w:font>
  <w:font w:name="方正仿宋_GB2312">
    <w:altName w:val="仿宋"/>
    <w:panose1 w:val="02000000000000000000"/>
    <w:charset w:val="FFFFFF86"/>
    <w:family w:val="auto"/>
    <w:pitch w:val="default"/>
    <w:sig w:usb0="A00002BF" w:usb1="184F6CFA" w:usb2="00000012" w:usb3="00000000" w:csb0="00040001" w:csb1="00000000"/>
    <w:embedRegular r:id="rId10" w:fontKey="{B96024B6-7583-4991-9034-96B960003BF0}"/>
  </w:font>
  <w:font w:name="仿宋_GB2312">
    <w:altName w:val="仿宋"/>
    <w:panose1 w:val="02010609030101010101"/>
    <w:charset w:val="FFFFFF86"/>
    <w:family w:val="auto"/>
    <w:pitch w:val="default"/>
    <w:sig w:usb0="00000001" w:usb1="080E0000" w:usb2="00000000" w:usb3="00000000" w:csb0="00040000" w:csb1="00000000"/>
    <w:embedRegular r:id="rId11" w:fontKey="{9DE7D2F0-FA0E-41C7-93BB-45144C87EDF9}"/>
  </w:font>
  <w:font w:name="方正楷体_GB2312">
    <w:altName w:val="宋体"/>
    <w:panose1 w:val="02000000000000000000"/>
    <w:charset w:val="FFFFFF86"/>
    <w:family w:val="auto"/>
    <w:pitch w:val="default"/>
    <w:sig w:usb0="A00002BF" w:usb1="184F6CFA" w:usb2="00000012" w:usb3="00000000" w:csb0="00040001" w:csb1="00000000"/>
    <w:embedRegular r:id="rId12" w:fontKey="{536928A6-0503-40CC-97F0-7423EE326F02}"/>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3" w:subsetted="1" w:fontKey="{DB87C617-B480-407D-9656-0982F4A03591}"/>
    <w:embedBold r:id="rId14" w:subsetted="1" w:fontKey="{A2E2A651-2DC3-4EA9-AB0C-850D0C5D0533}"/>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18</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26</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29</Pages>
  <Words>4039</Words>
  <Characters>24040</Characters>
  <Application>WPS Office_12.1.0.28043_F1E327BC-269C-435d-A152-05C5408002CA</Application>
  <DocSecurity>0</DocSecurity>
  <Lines>60</Lines>
  <Paragraphs>16</Paragraphs>
  <ScaleCrop>false</ScaleCrop>
  <Company>Microsoft</Company>
  <LinksUpToDate>false</LinksUpToDate>
  <CharactersWithSpaces>24638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2026-08-21T02:22:27Z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